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FC59E" w14:textId="1527E5B5" w:rsidR="00D303EF" w:rsidRDefault="009D28C3" w:rsidP="00D13ECC">
      <w:pPr>
        <w:spacing w:after="80"/>
        <w:ind w:right="222"/>
        <w:rPr>
          <w:rFonts w:ascii="Arial" w:hAnsi="Arial" w:cs="Arial"/>
          <w:b/>
          <w:color w:val="000000"/>
          <w:sz w:val="24"/>
          <w:szCs w:val="24"/>
        </w:rPr>
      </w:pPr>
      <w:r>
        <w:rPr>
          <w:rFonts w:ascii="Arial" w:hAnsi="Arial" w:cs="Arial"/>
          <w:b/>
          <w:color w:val="000000"/>
          <w:sz w:val="24"/>
          <w:szCs w:val="24"/>
        </w:rPr>
        <w:t xml:space="preserve"> </w:t>
      </w:r>
    </w:p>
    <w:p w14:paraId="3BB79731" w14:textId="2ECE85DA" w:rsidR="005F71F8" w:rsidRDefault="005F71F8" w:rsidP="005F71F8">
      <w:pPr>
        <w:jc w:val="center"/>
      </w:pPr>
      <w:r w:rsidRPr="00D303EF">
        <w:rPr>
          <w:rFonts w:ascii="Arial" w:hAnsi="Arial" w:cs="Arial"/>
          <w:b/>
          <w:sz w:val="24"/>
          <w:szCs w:val="24"/>
        </w:rPr>
        <w:t xml:space="preserve">INFORME TÉCNICO DE EVALUACIÓN DE </w:t>
      </w:r>
      <w:r>
        <w:rPr>
          <w:rFonts w:ascii="Arial" w:hAnsi="Arial" w:cs="Arial"/>
          <w:b/>
          <w:sz w:val="24"/>
          <w:szCs w:val="24"/>
        </w:rPr>
        <w:t>TABLAS DE RETENCIÓN DOCUMENTAL (TRD)</w:t>
      </w:r>
    </w:p>
    <w:p w14:paraId="2CB3176C" w14:textId="77777777" w:rsidR="00E041DD" w:rsidRDefault="00E041DD" w:rsidP="00D13ECC">
      <w:pPr>
        <w:spacing w:after="80"/>
        <w:ind w:right="222"/>
        <w:rPr>
          <w:rFonts w:ascii="Arial" w:hAnsi="Arial" w:cs="Arial"/>
          <w:b/>
          <w:color w:val="000000"/>
          <w:sz w:val="24"/>
          <w:szCs w:val="24"/>
        </w:rPr>
      </w:pPr>
    </w:p>
    <w:p w14:paraId="09C3C091" w14:textId="02C0BF51" w:rsidR="00E041DD" w:rsidRDefault="00D303EF" w:rsidP="00E041DD">
      <w:pPr>
        <w:spacing w:after="80"/>
        <w:ind w:right="222"/>
        <w:rPr>
          <w:rFonts w:ascii="Arial" w:hAnsi="Arial" w:cs="Arial"/>
          <w:b/>
          <w:bCs/>
          <w:color w:val="000000"/>
          <w:sz w:val="24"/>
          <w:szCs w:val="24"/>
          <w:lang w:val="es-CO"/>
        </w:rPr>
      </w:pPr>
      <w:r w:rsidRPr="00E041DD">
        <w:rPr>
          <w:rFonts w:ascii="Arial" w:hAnsi="Arial" w:cs="Arial"/>
          <w:b/>
          <w:bCs/>
          <w:color w:val="000000"/>
          <w:sz w:val="24"/>
          <w:szCs w:val="24"/>
          <w:lang w:val="es-CO"/>
        </w:rPr>
        <w:t>OBJETIVO</w:t>
      </w:r>
    </w:p>
    <w:p w14:paraId="115E8841" w14:textId="382A2ABF" w:rsidR="00D303EF" w:rsidRPr="006E0ED9" w:rsidRDefault="00D303EF" w:rsidP="006E0ED9">
      <w:pPr>
        <w:spacing w:after="240"/>
        <w:jc w:val="both"/>
        <w:rPr>
          <w:rFonts w:ascii="Arial" w:eastAsia="Arial" w:hAnsi="Arial" w:cs="Arial"/>
          <w:sz w:val="24"/>
          <w:szCs w:val="24"/>
        </w:rPr>
      </w:pPr>
      <w:r w:rsidRPr="006E0ED9">
        <w:rPr>
          <w:rFonts w:ascii="Arial" w:eastAsia="Arial" w:hAnsi="Arial" w:cs="Arial"/>
          <w:sz w:val="24"/>
          <w:szCs w:val="24"/>
        </w:rPr>
        <w:t xml:space="preserve">Evaluar, asesorar, formular y emitir el Informe Técnico de Evaluación de </w:t>
      </w:r>
      <w:r w:rsidR="006523B4" w:rsidRPr="006E0ED9">
        <w:rPr>
          <w:rFonts w:ascii="Arial" w:eastAsia="Arial" w:hAnsi="Arial" w:cs="Arial"/>
          <w:sz w:val="24"/>
          <w:szCs w:val="24"/>
        </w:rPr>
        <w:t>la Tabla</w:t>
      </w:r>
      <w:r w:rsidR="006E0ED9" w:rsidRPr="006E0ED9">
        <w:rPr>
          <w:rFonts w:ascii="Arial" w:eastAsia="Arial" w:hAnsi="Arial" w:cs="Arial"/>
          <w:sz w:val="24"/>
          <w:szCs w:val="24"/>
        </w:rPr>
        <w:t xml:space="preserve"> </w:t>
      </w:r>
      <w:r w:rsidR="006523B4" w:rsidRPr="006E0ED9">
        <w:rPr>
          <w:rFonts w:ascii="Arial" w:eastAsia="Arial" w:hAnsi="Arial" w:cs="Arial"/>
          <w:sz w:val="24"/>
          <w:szCs w:val="24"/>
        </w:rPr>
        <w:t xml:space="preserve">de Retención Documental </w:t>
      </w:r>
      <w:r w:rsidRPr="006E0ED9">
        <w:rPr>
          <w:rFonts w:ascii="Arial" w:eastAsia="Arial" w:hAnsi="Arial" w:cs="Arial"/>
          <w:sz w:val="24"/>
          <w:szCs w:val="24"/>
        </w:rPr>
        <w:t>de</w:t>
      </w:r>
      <w:r w:rsidR="001A6555">
        <w:rPr>
          <w:rFonts w:ascii="Arial" w:eastAsia="Arial" w:hAnsi="Arial" w:cs="Arial"/>
          <w:sz w:val="24"/>
          <w:szCs w:val="24"/>
        </w:rPr>
        <w:t xml:space="preserve"> la </w:t>
      </w:r>
      <w:r w:rsidR="007F0FEC">
        <w:rPr>
          <w:rFonts w:ascii="Arial" w:eastAsia="Arial" w:hAnsi="Arial" w:cs="Arial"/>
          <w:sz w:val="24"/>
          <w:szCs w:val="24"/>
        </w:rPr>
        <w:t>Personería de Granada</w:t>
      </w:r>
      <w:r w:rsidR="001A6555">
        <w:rPr>
          <w:rFonts w:ascii="Arial" w:eastAsia="Arial" w:hAnsi="Arial" w:cs="Arial"/>
          <w:sz w:val="24"/>
          <w:szCs w:val="24"/>
        </w:rPr>
        <w:t xml:space="preserve"> </w:t>
      </w:r>
      <w:r w:rsidRPr="006E0ED9">
        <w:rPr>
          <w:rFonts w:ascii="Arial" w:eastAsia="Arial" w:hAnsi="Arial" w:cs="Arial"/>
          <w:sz w:val="24"/>
          <w:szCs w:val="24"/>
        </w:rPr>
        <w:t>(Cundinamarca), con el fin de su convalidación ante el Consejo Departamental de Archivos de Cundinamarca.</w:t>
      </w:r>
    </w:p>
    <w:p w14:paraId="7BBBE60B" w14:textId="72752D74" w:rsidR="00B82720" w:rsidRDefault="00B82720" w:rsidP="006E0ED9">
      <w:pPr>
        <w:spacing w:after="240"/>
        <w:jc w:val="both"/>
        <w:rPr>
          <w:rFonts w:ascii="Arial" w:eastAsia="Arial" w:hAnsi="Arial" w:cs="Arial"/>
          <w:sz w:val="24"/>
          <w:szCs w:val="24"/>
        </w:rPr>
      </w:pPr>
      <w:r>
        <w:rPr>
          <w:rFonts w:ascii="Arial" w:eastAsia="Arial" w:hAnsi="Arial" w:cs="Arial"/>
          <w:sz w:val="24"/>
          <w:szCs w:val="24"/>
        </w:rPr>
        <w:t xml:space="preserve">Para esta evaluación se tendrá en cuenta lo que dice el </w:t>
      </w:r>
      <w:r>
        <w:rPr>
          <w:rFonts w:ascii="Arial" w:eastAsia="Arial" w:hAnsi="Arial" w:cs="Arial"/>
          <w:b/>
          <w:bCs/>
          <w:sz w:val="24"/>
          <w:szCs w:val="24"/>
        </w:rPr>
        <w:t>Acuerdo 001 de 2024</w:t>
      </w:r>
      <w:r>
        <w:rPr>
          <w:rFonts w:ascii="Arial" w:eastAsia="Arial" w:hAnsi="Arial" w:cs="Arial"/>
          <w:sz w:val="24"/>
          <w:szCs w:val="24"/>
        </w:rPr>
        <w:t xml:space="preserve"> del Archivo General de la Nación, que establece las reglas únicas de la función archivística y los criterios técnicos y legales que deben aplicarse en las entidades públicas. También se usará la </w:t>
      </w:r>
      <w:r>
        <w:rPr>
          <w:rFonts w:ascii="Arial" w:eastAsia="Arial" w:hAnsi="Arial" w:cs="Arial"/>
          <w:b/>
          <w:bCs/>
          <w:sz w:val="24"/>
          <w:szCs w:val="24"/>
        </w:rPr>
        <w:t>Guía Metodológica para la Evaluación de Tablas de Retención Documental y Tablas de Valoración Documental</w:t>
      </w:r>
      <w:r>
        <w:rPr>
          <w:rFonts w:ascii="Arial" w:eastAsia="Arial" w:hAnsi="Arial" w:cs="Arial"/>
          <w:sz w:val="24"/>
          <w:szCs w:val="24"/>
        </w:rPr>
        <w:t>, publicada en 2024 por el mismo Archivo General de la Nación.</w:t>
      </w:r>
    </w:p>
    <w:p w14:paraId="3972AE18" w14:textId="77777777" w:rsidR="00B82720" w:rsidRDefault="00B82720" w:rsidP="00D303EF">
      <w:pPr>
        <w:spacing w:after="80"/>
        <w:ind w:right="222"/>
        <w:rPr>
          <w:rFonts w:ascii="Arial" w:eastAsia="Arial" w:hAnsi="Arial" w:cs="Arial"/>
          <w:sz w:val="24"/>
          <w:szCs w:val="24"/>
        </w:rPr>
      </w:pPr>
    </w:p>
    <w:p w14:paraId="2C141F3D" w14:textId="57DC4C94"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RESPONSABLES DEL INFORME</w:t>
      </w:r>
    </w:p>
    <w:p w14:paraId="1AFF2055" w14:textId="77777777" w:rsidR="00D303EF" w:rsidRPr="00D303EF" w:rsidRDefault="00D303EF" w:rsidP="00D303EF">
      <w:pPr>
        <w:numPr>
          <w:ilvl w:val="0"/>
          <w:numId w:val="7"/>
        </w:numPr>
        <w:spacing w:after="80"/>
        <w:ind w:right="222"/>
        <w:rPr>
          <w:rFonts w:ascii="Arial" w:hAnsi="Arial" w:cs="Arial"/>
          <w:color w:val="000000"/>
          <w:sz w:val="24"/>
          <w:szCs w:val="24"/>
          <w:lang w:val="es-CO"/>
        </w:rPr>
      </w:pPr>
      <w:r w:rsidRPr="00D303EF">
        <w:rPr>
          <w:rFonts w:ascii="Arial" w:hAnsi="Arial" w:cs="Arial"/>
          <w:color w:val="000000"/>
          <w:sz w:val="24"/>
          <w:szCs w:val="24"/>
          <w:lang w:val="es-CO"/>
        </w:rPr>
        <w:t>Jhon Bayron Bedoya Sandoval</w:t>
      </w:r>
      <w:r w:rsidRPr="00D303EF">
        <w:rPr>
          <w:rFonts w:ascii="Arial" w:hAnsi="Arial" w:cs="Arial"/>
          <w:color w:val="000000"/>
          <w:sz w:val="24"/>
          <w:szCs w:val="24"/>
          <w:lang w:val="es-CO"/>
        </w:rPr>
        <w:br/>
        <w:t xml:space="preserve">Historiador </w:t>
      </w:r>
    </w:p>
    <w:p w14:paraId="2A4F3D8C" w14:textId="2CB3C37A" w:rsidR="00D303EF" w:rsidRPr="00D303EF" w:rsidRDefault="00D303EF" w:rsidP="00D303EF">
      <w:pPr>
        <w:spacing w:after="80"/>
        <w:ind w:right="222"/>
        <w:rPr>
          <w:rFonts w:ascii="Arial" w:hAnsi="Arial" w:cs="Arial"/>
          <w:b/>
          <w:color w:val="000000"/>
          <w:sz w:val="24"/>
          <w:szCs w:val="24"/>
          <w:lang w:val="es-CO"/>
        </w:rPr>
      </w:pPr>
    </w:p>
    <w:p w14:paraId="3CF8E832" w14:textId="6FB86216"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DATOS DE LA ENTIDAD EVALUADA</w:t>
      </w:r>
    </w:p>
    <w:p w14:paraId="33F092D1" w14:textId="10BBD1B0"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Entidad:</w:t>
      </w:r>
      <w:r w:rsidRPr="00D303EF">
        <w:rPr>
          <w:rFonts w:ascii="Arial" w:hAnsi="Arial" w:cs="Arial"/>
          <w:color w:val="000000"/>
          <w:sz w:val="24"/>
          <w:szCs w:val="24"/>
          <w:lang w:val="es-CO"/>
        </w:rPr>
        <w:t xml:space="preserve"> </w:t>
      </w:r>
      <w:r w:rsidR="007F0FEC" w:rsidRPr="007F0FEC">
        <w:rPr>
          <w:rFonts w:ascii="Arial" w:hAnsi="Arial" w:cs="Arial"/>
          <w:color w:val="000000"/>
          <w:sz w:val="24"/>
          <w:szCs w:val="24"/>
        </w:rPr>
        <w:t>Personería de Granada</w:t>
      </w:r>
      <w:r w:rsidR="007F0FEC">
        <w:rPr>
          <w:rFonts w:ascii="Arial" w:hAnsi="Arial" w:cs="Arial"/>
          <w:color w:val="000000"/>
          <w:sz w:val="24"/>
          <w:szCs w:val="24"/>
          <w:lang w:val="es-CO"/>
        </w:rPr>
        <w:t xml:space="preserve"> </w:t>
      </w:r>
      <w:r w:rsidR="001A6555">
        <w:rPr>
          <w:rFonts w:ascii="Arial" w:hAnsi="Arial" w:cs="Arial"/>
          <w:color w:val="000000"/>
          <w:sz w:val="24"/>
          <w:szCs w:val="24"/>
          <w:lang w:val="es-CO"/>
        </w:rPr>
        <w:t xml:space="preserve"> </w:t>
      </w:r>
      <w:r w:rsidRPr="00D303EF">
        <w:rPr>
          <w:rFonts w:ascii="Arial" w:hAnsi="Arial" w:cs="Arial"/>
          <w:color w:val="000000"/>
          <w:sz w:val="24"/>
          <w:szCs w:val="24"/>
          <w:lang w:val="es-CO"/>
        </w:rPr>
        <w:t xml:space="preserve"> </w:t>
      </w:r>
    </w:p>
    <w:p w14:paraId="2F3D2ECC" w14:textId="364A2AC3" w:rsidR="00D303EF" w:rsidRPr="007F0FEC" w:rsidRDefault="00D303EF" w:rsidP="007F0FEC">
      <w:pPr>
        <w:jc w:val="both"/>
        <w:rPr>
          <w:sz w:val="24"/>
          <w:szCs w:val="24"/>
        </w:rPr>
      </w:pPr>
      <w:r w:rsidRPr="00D303EF">
        <w:rPr>
          <w:rFonts w:ascii="Arial" w:hAnsi="Arial" w:cs="Arial"/>
          <w:b/>
          <w:bCs/>
          <w:color w:val="000000"/>
          <w:sz w:val="24"/>
          <w:szCs w:val="24"/>
          <w:lang w:val="es-CO"/>
        </w:rPr>
        <w:t xml:space="preserve">Dirección: </w:t>
      </w:r>
      <w:r w:rsidR="007F0FEC" w:rsidRPr="007F0FEC">
        <w:rPr>
          <w:rFonts w:ascii="Arial" w:eastAsia="Arial" w:hAnsi="Arial" w:cs="Arial"/>
          <w:sz w:val="24"/>
          <w:szCs w:val="24"/>
        </w:rPr>
        <w:t>Calle 11 # 14 - 28 Piso 1</w:t>
      </w:r>
    </w:p>
    <w:p w14:paraId="59391DE7" w14:textId="5F14F9C8"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Teléfono:</w:t>
      </w:r>
      <w:r w:rsidR="001A6555">
        <w:rPr>
          <w:rFonts w:ascii="Arial" w:hAnsi="Arial" w:cs="Arial"/>
          <w:color w:val="000000"/>
          <w:sz w:val="24"/>
          <w:szCs w:val="24"/>
          <w:lang w:val="es-CO"/>
        </w:rPr>
        <w:t xml:space="preserve"> </w:t>
      </w:r>
      <w:r w:rsidR="007F0FEC" w:rsidRPr="007F0FEC">
        <w:rPr>
          <w:rFonts w:ascii="Arial" w:eastAsia="Arial" w:hAnsi="Arial" w:cs="Arial"/>
          <w:sz w:val="24"/>
          <w:szCs w:val="24"/>
        </w:rPr>
        <w:t>3147928158</w:t>
      </w:r>
    </w:p>
    <w:p w14:paraId="62334592" w14:textId="6AF57145" w:rsidR="00D303EF" w:rsidRDefault="00D303EF" w:rsidP="00D303EF">
      <w:pPr>
        <w:spacing w:after="80"/>
        <w:ind w:right="222"/>
      </w:pPr>
      <w:r w:rsidRPr="00D303EF">
        <w:rPr>
          <w:rFonts w:ascii="Arial" w:hAnsi="Arial" w:cs="Arial"/>
          <w:b/>
          <w:bCs/>
          <w:color w:val="000000"/>
          <w:sz w:val="24"/>
          <w:szCs w:val="24"/>
          <w:lang w:val="es-CO"/>
        </w:rPr>
        <w:t xml:space="preserve">Correo electrónico: </w:t>
      </w:r>
      <w:r w:rsidR="007F0FEC" w:rsidRPr="007F0FEC">
        <w:rPr>
          <w:rFonts w:ascii="Arial" w:eastAsia="Arial" w:hAnsi="Arial" w:cs="Arial"/>
          <w:sz w:val="24"/>
          <w:szCs w:val="24"/>
        </w:rPr>
        <w:t>personeria@granada-cundinamarca.gov.co</w:t>
      </w:r>
      <w:r w:rsidR="007F0FEC" w:rsidRPr="005D5039">
        <w:rPr>
          <w:sz w:val="24"/>
          <w:szCs w:val="24"/>
        </w:rPr>
        <w:t xml:space="preserve">  </w:t>
      </w:r>
    </w:p>
    <w:p w14:paraId="79F0DD73" w14:textId="77777777" w:rsidR="007F0FEC" w:rsidRPr="00D303EF" w:rsidRDefault="007F0FEC" w:rsidP="00D303EF">
      <w:pPr>
        <w:spacing w:after="80"/>
        <w:ind w:right="222"/>
        <w:rPr>
          <w:rFonts w:ascii="Arial" w:hAnsi="Arial" w:cs="Arial"/>
          <w:b/>
          <w:color w:val="000000"/>
          <w:sz w:val="24"/>
          <w:szCs w:val="24"/>
          <w:lang w:val="es-CO"/>
        </w:rPr>
      </w:pPr>
    </w:p>
    <w:p w14:paraId="6400D278" w14:textId="3168A1F9"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FECHA DE EMISIÓN DEL INFORME</w:t>
      </w:r>
    </w:p>
    <w:p w14:paraId="2CC775C1" w14:textId="1B56D609" w:rsidR="00D303EF" w:rsidRPr="007F0FEC" w:rsidRDefault="007F0FEC" w:rsidP="00D13ECC">
      <w:pPr>
        <w:spacing w:after="80"/>
        <w:ind w:right="222"/>
        <w:rPr>
          <w:rFonts w:ascii="Arial" w:eastAsia="Arial" w:hAnsi="Arial" w:cs="Arial"/>
          <w:sz w:val="24"/>
          <w:szCs w:val="24"/>
        </w:rPr>
      </w:pPr>
      <w:r w:rsidRPr="007F0FEC">
        <w:rPr>
          <w:rFonts w:ascii="Arial" w:eastAsia="Arial" w:hAnsi="Arial" w:cs="Arial"/>
          <w:sz w:val="24"/>
          <w:szCs w:val="24"/>
        </w:rPr>
        <w:t>13 de abril de 2026.</w:t>
      </w:r>
    </w:p>
    <w:p w14:paraId="7892B193" w14:textId="77777777" w:rsidR="007F11E4" w:rsidRDefault="007F11E4" w:rsidP="00D13ECC">
      <w:pPr>
        <w:spacing w:after="80"/>
        <w:ind w:right="222"/>
        <w:rPr>
          <w:rFonts w:ascii="Arial" w:hAnsi="Arial" w:cs="Arial"/>
          <w:b/>
          <w:color w:val="000000"/>
          <w:sz w:val="24"/>
          <w:szCs w:val="24"/>
        </w:rPr>
      </w:pPr>
    </w:p>
    <w:p w14:paraId="31234BA9" w14:textId="77777777" w:rsidR="007F11E4" w:rsidRDefault="007F11E4" w:rsidP="00D13ECC">
      <w:pPr>
        <w:spacing w:after="80"/>
        <w:ind w:right="222"/>
        <w:rPr>
          <w:rFonts w:ascii="Arial" w:hAnsi="Arial" w:cs="Arial"/>
          <w:b/>
          <w:color w:val="000000"/>
          <w:sz w:val="24"/>
          <w:szCs w:val="24"/>
        </w:rPr>
      </w:pPr>
    </w:p>
    <w:p w14:paraId="37F10B6A" w14:textId="77777777" w:rsidR="007F11E4" w:rsidRDefault="007F11E4" w:rsidP="00D13ECC">
      <w:pPr>
        <w:spacing w:after="80"/>
        <w:ind w:right="222"/>
        <w:rPr>
          <w:rFonts w:ascii="Arial" w:hAnsi="Arial" w:cs="Arial"/>
          <w:b/>
          <w:color w:val="000000"/>
          <w:sz w:val="24"/>
          <w:szCs w:val="24"/>
        </w:rPr>
      </w:pPr>
    </w:p>
    <w:p w14:paraId="4C12D6B0" w14:textId="77777777" w:rsidR="007F11E4" w:rsidRDefault="007F11E4" w:rsidP="00D13ECC">
      <w:pPr>
        <w:spacing w:after="80"/>
        <w:ind w:right="222"/>
        <w:rPr>
          <w:rFonts w:ascii="Arial" w:hAnsi="Arial" w:cs="Arial"/>
          <w:b/>
          <w:color w:val="000000"/>
          <w:sz w:val="24"/>
          <w:szCs w:val="24"/>
        </w:rPr>
      </w:pPr>
    </w:p>
    <w:p w14:paraId="22563382" w14:textId="77777777" w:rsidR="001A6555" w:rsidRDefault="001A6555" w:rsidP="00D13ECC">
      <w:pPr>
        <w:spacing w:after="80"/>
        <w:ind w:right="222"/>
        <w:rPr>
          <w:rFonts w:ascii="Arial" w:hAnsi="Arial" w:cs="Arial"/>
          <w:b/>
          <w:color w:val="000000"/>
          <w:sz w:val="24"/>
          <w:szCs w:val="24"/>
        </w:rPr>
      </w:pPr>
    </w:p>
    <w:p w14:paraId="67BBB59D" w14:textId="77777777" w:rsidR="001A6555" w:rsidRDefault="001A6555" w:rsidP="00D13ECC">
      <w:pPr>
        <w:spacing w:after="80"/>
        <w:ind w:right="222"/>
        <w:rPr>
          <w:rFonts w:ascii="Arial" w:hAnsi="Arial" w:cs="Arial"/>
          <w:b/>
          <w:color w:val="000000"/>
          <w:sz w:val="24"/>
          <w:szCs w:val="24"/>
        </w:rPr>
      </w:pPr>
    </w:p>
    <w:p w14:paraId="2AAD7F54" w14:textId="77777777" w:rsidR="007F0FEC" w:rsidRDefault="007F0FEC" w:rsidP="00D13ECC">
      <w:pPr>
        <w:spacing w:after="80"/>
        <w:ind w:right="222"/>
        <w:rPr>
          <w:rFonts w:ascii="Arial" w:hAnsi="Arial" w:cs="Arial"/>
          <w:b/>
          <w:color w:val="000000"/>
          <w:sz w:val="24"/>
          <w:szCs w:val="24"/>
        </w:rPr>
      </w:pPr>
    </w:p>
    <w:p w14:paraId="740B4D7A" w14:textId="77777777" w:rsidR="001A6555" w:rsidRDefault="001A6555" w:rsidP="00D13ECC">
      <w:pPr>
        <w:spacing w:after="80"/>
        <w:ind w:right="222"/>
        <w:rPr>
          <w:rFonts w:ascii="Arial" w:hAnsi="Arial" w:cs="Arial"/>
          <w:b/>
          <w:color w:val="000000"/>
          <w:sz w:val="24"/>
          <w:szCs w:val="24"/>
        </w:rPr>
      </w:pPr>
    </w:p>
    <w:p w14:paraId="06478879" w14:textId="7174EC58" w:rsidR="00537188" w:rsidRPr="00D303EF" w:rsidRDefault="00537188" w:rsidP="00537188">
      <w:pPr>
        <w:spacing w:after="240"/>
        <w:rPr>
          <w:rFonts w:ascii="Arial" w:hAnsi="Arial" w:cs="Arial"/>
          <w:b/>
          <w:color w:val="000000"/>
          <w:sz w:val="24"/>
          <w:szCs w:val="24"/>
        </w:rPr>
      </w:pPr>
      <w:r w:rsidRPr="00D303EF">
        <w:rPr>
          <w:rFonts w:ascii="Arial" w:hAnsi="Arial" w:cs="Arial"/>
          <w:b/>
          <w:color w:val="000000"/>
          <w:sz w:val="24"/>
          <w:szCs w:val="24"/>
        </w:rPr>
        <w:lastRenderedPageBreak/>
        <w:t xml:space="preserve">ANTECEDENTES </w:t>
      </w:r>
    </w:p>
    <w:p w14:paraId="49B36BDA" w14:textId="753A74F1" w:rsidR="00AA0D88" w:rsidRPr="00D303EF" w:rsidRDefault="007D6377" w:rsidP="007D6377">
      <w:pPr>
        <w:spacing w:before="240" w:after="240"/>
        <w:jc w:val="both"/>
        <w:rPr>
          <w:rFonts w:ascii="Arial" w:hAnsi="Arial" w:cs="Arial"/>
          <w:color w:val="000000"/>
          <w:sz w:val="24"/>
          <w:szCs w:val="24"/>
        </w:rPr>
      </w:pPr>
      <w:r w:rsidRPr="00D303EF">
        <w:rPr>
          <w:rFonts w:ascii="Arial" w:hAnsi="Arial" w:cs="Arial"/>
          <w:color w:val="000000"/>
          <w:sz w:val="24"/>
          <w:szCs w:val="24"/>
        </w:rPr>
        <w:t>Con el objetivo de evidenciar la trazabilidad del proceso de evaluación y convalidación de la Tabla de Retención Documental (TRD) de</w:t>
      </w:r>
      <w:r w:rsidR="001A6555">
        <w:rPr>
          <w:rFonts w:ascii="Arial" w:hAnsi="Arial" w:cs="Arial"/>
          <w:color w:val="000000"/>
          <w:sz w:val="24"/>
          <w:szCs w:val="24"/>
        </w:rPr>
        <w:t xml:space="preserve"> </w:t>
      </w:r>
      <w:r w:rsidRPr="00D303EF">
        <w:rPr>
          <w:rFonts w:ascii="Arial" w:hAnsi="Arial" w:cs="Arial"/>
          <w:color w:val="000000"/>
          <w:sz w:val="24"/>
          <w:szCs w:val="24"/>
        </w:rPr>
        <w:t>l</w:t>
      </w:r>
      <w:r w:rsidR="001A6555">
        <w:rPr>
          <w:rFonts w:ascii="Arial" w:hAnsi="Arial" w:cs="Arial"/>
          <w:color w:val="000000"/>
          <w:sz w:val="24"/>
          <w:szCs w:val="24"/>
        </w:rPr>
        <w:t>a</w:t>
      </w:r>
      <w:r w:rsidRPr="00D303EF">
        <w:rPr>
          <w:rFonts w:ascii="Arial" w:hAnsi="Arial" w:cs="Arial"/>
          <w:color w:val="000000"/>
          <w:sz w:val="24"/>
          <w:szCs w:val="24"/>
        </w:rPr>
        <w:t xml:space="preserve"> “</w:t>
      </w:r>
      <w:r w:rsidR="007F0FEC">
        <w:rPr>
          <w:rFonts w:ascii="Arial" w:hAnsi="Arial" w:cs="Arial"/>
          <w:color w:val="000000"/>
          <w:sz w:val="24"/>
          <w:szCs w:val="24"/>
        </w:rPr>
        <w:t>Personería de Granada</w:t>
      </w:r>
      <w:r w:rsidRPr="00D303EF">
        <w:rPr>
          <w:rFonts w:ascii="Arial" w:hAnsi="Arial" w:cs="Arial"/>
          <w:color w:val="000000"/>
          <w:sz w:val="24"/>
          <w:szCs w:val="24"/>
        </w:rPr>
        <w:t xml:space="preserve">”, se presenta a continuación el historial de radicados tramitados a través del sistema </w:t>
      </w:r>
      <w:r w:rsidR="005F71F8">
        <w:rPr>
          <w:rFonts w:ascii="Arial" w:hAnsi="Arial" w:cs="Arial"/>
          <w:color w:val="000000"/>
          <w:sz w:val="24"/>
          <w:szCs w:val="24"/>
        </w:rPr>
        <w:t>Cóndor</w:t>
      </w:r>
      <w:r w:rsidRPr="00D303EF">
        <w:rPr>
          <w:rFonts w:ascii="Arial" w:hAnsi="Arial" w:cs="Arial"/>
          <w:color w:val="000000"/>
          <w:sz w:val="24"/>
          <w:szCs w:val="24"/>
        </w:rPr>
        <w:t xml:space="preserve"> ante el Consejo Departamental de Archivo</w:t>
      </w:r>
      <w:r w:rsidR="00AA0D88">
        <w:rPr>
          <w:rFonts w:ascii="Arial" w:hAnsi="Arial" w:cs="Arial"/>
          <w:color w:val="000000"/>
          <w:sz w:val="24"/>
          <w:szCs w:val="24"/>
        </w:rPr>
        <w:t>s</w:t>
      </w:r>
      <w:r w:rsidRPr="00D303EF">
        <w:rPr>
          <w:rFonts w:ascii="Arial" w:hAnsi="Arial" w:cs="Arial"/>
          <w:color w:val="000000"/>
          <w:sz w:val="24"/>
          <w:szCs w:val="24"/>
        </w:rPr>
        <w:t xml:space="preserve"> de Cundinamarca:</w:t>
      </w:r>
    </w:p>
    <w:tbl>
      <w:tblPr>
        <w:tblW w:w="8820" w:type="dxa"/>
        <w:tblBorders>
          <w:top w:val="nil"/>
          <w:left w:val="nil"/>
          <w:bottom w:val="nil"/>
          <w:right w:val="nil"/>
          <w:insideH w:val="nil"/>
          <w:insideV w:val="nil"/>
        </w:tblBorders>
        <w:tblLayout w:type="fixed"/>
        <w:tblLook w:val="0600" w:firstRow="0" w:lastRow="0" w:firstColumn="0" w:lastColumn="0" w:noHBand="1" w:noVBand="1"/>
      </w:tblPr>
      <w:tblGrid>
        <w:gridCol w:w="1935"/>
        <w:gridCol w:w="1590"/>
        <w:gridCol w:w="2025"/>
        <w:gridCol w:w="3270"/>
      </w:tblGrid>
      <w:tr w:rsidR="00537188" w:rsidRPr="00D303EF" w14:paraId="6BF689C2" w14:textId="77777777" w:rsidTr="00CD29AD">
        <w:trPr>
          <w:trHeight w:val="465"/>
        </w:trPr>
        <w:tc>
          <w:tcPr>
            <w:tcW w:w="19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D124CE"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Fecha</w:t>
            </w:r>
          </w:p>
        </w:tc>
        <w:tc>
          <w:tcPr>
            <w:tcW w:w="159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87DABB6"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Radicado</w:t>
            </w:r>
          </w:p>
        </w:tc>
        <w:tc>
          <w:tcPr>
            <w:tcW w:w="202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831136C"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Entidad</w:t>
            </w:r>
          </w:p>
        </w:tc>
        <w:tc>
          <w:tcPr>
            <w:tcW w:w="32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DC2F9D0" w14:textId="77777777" w:rsidR="00537188" w:rsidRPr="00D303EF" w:rsidRDefault="00537188" w:rsidP="00CD29AD">
            <w:pPr>
              <w:spacing w:before="240" w:after="160" w:line="256" w:lineRule="auto"/>
              <w:jc w:val="both"/>
              <w:rPr>
                <w:rFonts w:ascii="Arial" w:hAnsi="Arial" w:cs="Arial"/>
                <w:b/>
                <w:sz w:val="24"/>
                <w:szCs w:val="24"/>
                <w:highlight w:val="white"/>
              </w:rPr>
            </w:pPr>
            <w:r w:rsidRPr="00D303EF">
              <w:rPr>
                <w:rFonts w:ascii="Arial" w:hAnsi="Arial" w:cs="Arial"/>
                <w:b/>
                <w:sz w:val="24"/>
                <w:szCs w:val="24"/>
                <w:highlight w:val="white"/>
              </w:rPr>
              <w:t>Descripción del trámite</w:t>
            </w:r>
          </w:p>
        </w:tc>
      </w:tr>
      <w:tr w:rsidR="00537188" w:rsidRPr="00D303EF" w14:paraId="1802AED2" w14:textId="77777777" w:rsidTr="00605BBD">
        <w:trPr>
          <w:trHeight w:val="1384"/>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6F47E68" w14:textId="5994A9BD" w:rsidR="00537188" w:rsidRPr="00D303EF" w:rsidRDefault="00537188" w:rsidP="00AA0D88">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55436E31" w14:textId="43D584C4" w:rsidR="00537188" w:rsidRPr="00D303EF" w:rsidRDefault="00537188" w:rsidP="00AA0D88">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3F66B38A" w14:textId="71532D44"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5DEF115E" w14:textId="77777777" w:rsidR="00537188" w:rsidRDefault="00537188" w:rsidP="00C37D6E">
            <w:pPr>
              <w:jc w:val="both"/>
              <w:rPr>
                <w:rFonts w:ascii="Arial" w:hAnsi="Arial" w:cs="Arial"/>
                <w:sz w:val="24"/>
                <w:szCs w:val="24"/>
                <w:highlight w:val="white"/>
              </w:rPr>
            </w:pPr>
          </w:p>
          <w:p w14:paraId="6202945D" w14:textId="13902F0D" w:rsidR="00AA0D88" w:rsidRPr="00D303EF" w:rsidRDefault="00AA0D88" w:rsidP="001A6555">
            <w:pPr>
              <w:jc w:val="both"/>
              <w:rPr>
                <w:rFonts w:ascii="Arial" w:hAnsi="Arial" w:cs="Arial"/>
                <w:sz w:val="24"/>
                <w:szCs w:val="24"/>
                <w:highlight w:val="white"/>
              </w:rPr>
            </w:pPr>
          </w:p>
        </w:tc>
      </w:tr>
      <w:tr w:rsidR="00537188" w:rsidRPr="00D303EF" w14:paraId="6FFA6877" w14:textId="77777777" w:rsidTr="00605BBD">
        <w:trPr>
          <w:trHeight w:val="1546"/>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09E1D10" w14:textId="73B88979" w:rsidR="00537188" w:rsidRPr="00D303EF" w:rsidRDefault="00537188" w:rsidP="00E54106">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3DB9FECA" w14:textId="78A8830D" w:rsidR="00537188" w:rsidRPr="00D303EF" w:rsidRDefault="00537188" w:rsidP="00E54106">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237059AF" w14:textId="5B2C68D8"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6ADE9C5C" w14:textId="77777777" w:rsidR="00AA0D88" w:rsidRDefault="00AA0D88" w:rsidP="00C37D6E">
            <w:pPr>
              <w:jc w:val="both"/>
              <w:rPr>
                <w:rFonts w:ascii="Arial" w:hAnsi="Arial" w:cs="Arial"/>
                <w:sz w:val="24"/>
                <w:szCs w:val="24"/>
                <w:highlight w:val="white"/>
              </w:rPr>
            </w:pPr>
          </w:p>
          <w:p w14:paraId="282D614C" w14:textId="629A794D" w:rsidR="00537188" w:rsidRPr="00D303EF" w:rsidRDefault="00537188" w:rsidP="00C37D6E">
            <w:pPr>
              <w:jc w:val="both"/>
              <w:rPr>
                <w:rFonts w:ascii="Arial" w:hAnsi="Arial" w:cs="Arial"/>
                <w:sz w:val="24"/>
                <w:szCs w:val="24"/>
                <w:highlight w:val="white"/>
              </w:rPr>
            </w:pPr>
          </w:p>
        </w:tc>
      </w:tr>
    </w:tbl>
    <w:p w14:paraId="52301C2F" w14:textId="2F293971" w:rsidR="008A1099" w:rsidRDefault="008A1099" w:rsidP="00537188">
      <w:pPr>
        <w:jc w:val="both"/>
        <w:rPr>
          <w:rFonts w:ascii="Arial" w:hAnsi="Arial" w:cs="Arial"/>
          <w:sz w:val="24"/>
          <w:szCs w:val="24"/>
        </w:rPr>
      </w:pPr>
    </w:p>
    <w:p w14:paraId="5ECCFDDE" w14:textId="21A2E756" w:rsidR="008A1099" w:rsidRPr="001A6555" w:rsidRDefault="008A1099" w:rsidP="008A1099">
      <w:pPr>
        <w:jc w:val="center"/>
        <w:rPr>
          <w:rFonts w:ascii="Arial" w:hAnsi="Arial" w:cs="Arial"/>
          <w:b/>
          <w:bCs/>
          <w:sz w:val="24"/>
          <w:szCs w:val="24"/>
        </w:rPr>
      </w:pPr>
      <w:r w:rsidRPr="001A6555">
        <w:rPr>
          <w:rFonts w:ascii="Arial" w:hAnsi="Arial" w:cs="Arial"/>
          <w:b/>
          <w:bCs/>
          <w:sz w:val="24"/>
          <w:szCs w:val="24"/>
        </w:rPr>
        <w:t>EVALUACIÓN TÉCNICA</w:t>
      </w:r>
    </w:p>
    <w:p w14:paraId="6A7A7C8B" w14:textId="77777777" w:rsidR="00E54106" w:rsidRDefault="00E54106" w:rsidP="00537188">
      <w:pPr>
        <w:jc w:val="both"/>
        <w:rPr>
          <w:rFonts w:ascii="Arial" w:hAnsi="Arial" w:cs="Arial"/>
          <w:sz w:val="24"/>
          <w:szCs w:val="24"/>
        </w:rPr>
      </w:pPr>
    </w:p>
    <w:p w14:paraId="29A365C8" w14:textId="77777777" w:rsidR="007F0FEC" w:rsidRPr="00E23F2F" w:rsidRDefault="007F0FEC" w:rsidP="007F0FEC">
      <w:pPr>
        <w:numPr>
          <w:ilvl w:val="0"/>
          <w:numId w:val="6"/>
        </w:numPr>
        <w:ind w:left="360"/>
        <w:jc w:val="both"/>
        <w:rPr>
          <w:rFonts w:ascii="Arial" w:hAnsi="Arial" w:cs="Arial"/>
          <w:b/>
          <w:color w:val="000000"/>
          <w:sz w:val="24"/>
          <w:szCs w:val="24"/>
        </w:rPr>
      </w:pPr>
      <w:r w:rsidRPr="00E23F2F">
        <w:rPr>
          <w:rFonts w:ascii="Arial" w:hAnsi="Arial" w:cs="Arial"/>
          <w:b/>
          <w:color w:val="000000"/>
          <w:sz w:val="24"/>
          <w:szCs w:val="24"/>
        </w:rPr>
        <w:t>ANEXOS </w:t>
      </w:r>
    </w:p>
    <w:p w14:paraId="7C847122" w14:textId="77777777" w:rsidR="007F0FEC" w:rsidRPr="00E23F2F" w:rsidRDefault="007F0FEC" w:rsidP="007F0FEC">
      <w:pPr>
        <w:rPr>
          <w:rFonts w:ascii="Arial" w:hAnsi="Arial" w:cs="Arial"/>
          <w:sz w:val="24"/>
          <w:szCs w:val="24"/>
        </w:rPr>
      </w:pPr>
    </w:p>
    <w:p w14:paraId="7FF5307D"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1.1 La entidad anexa actos administrativos o los documentos equivalentes en los que se establece la estructura orgánica vigente.</w:t>
      </w:r>
    </w:p>
    <w:p w14:paraId="7C52377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aporta la Resolución Administrativa No. 09 de 2020, mediante la cual se actualiza el manual de funciones y competencias laborales. En este acto administrativo se identifican los cargos que conforman la entidad (Personero y Secretaría), lo cual permite inferir la estructura orgánica vigente.</w:t>
      </w:r>
    </w:p>
    <w:p w14:paraId="7926235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el documento no adopta de manera explícita una estructura orgánica formal (organigrama o estructura institucional como tal), sino que la define de manera implícita a partir de los cargos.</w:t>
      </w:r>
    </w:p>
    <w:p w14:paraId="4726EED0"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Conforme al Acuerdo 001 de 2024 del AGN, se espera un acto que establezca de forma clara la estructura orgánica.</w:t>
      </w:r>
    </w:p>
    <w:p w14:paraId="3BA4878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31F09B24"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1.2 La entidad anexa actos administrativos o los documentos equivalentes en los que se establecen las funciones de cada una de las unidades administrativas que conforman la estructura orgánica vigente.</w:t>
      </w:r>
    </w:p>
    <w:p w14:paraId="767C7E0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La entidad, presenta la Resolución Administrativa No. 09 de 2020, la cual contiene el manual de funciones y competencias laborales, estableciendo las funciones de los cargos que integran la Personería.</w:t>
      </w:r>
    </w:p>
    <w:p w14:paraId="20FBDD7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Este documento cumple con el requisito de definir funciones por unidad administrativa, acorde con la estructura existente.</w:t>
      </w:r>
    </w:p>
    <w:p w14:paraId="796BC8B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36FFEDF2"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1.3. La entidad anexa actos administrativos o los documentos equivalentes mediante los cuales se crean órganos consultivos o asesores.</w:t>
      </w:r>
    </w:p>
    <w:p w14:paraId="1358324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se evidencia en los anexos ni en la memoria descriptiva la existencia de actos administrativos que creen órganos consultivos o asesores (como Comité Interno de Archivo u otros).</w:t>
      </w:r>
    </w:p>
    <w:p w14:paraId="398CE38C"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Adicionalmente, la memoria descriptiva no aclara si la Personería cuenta o no con dichos comités, ni justifica su inexistencia, lo cual es un vacío frente al requisito.</w:t>
      </w:r>
    </w:p>
    <w:p w14:paraId="6D0235F7"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acuerdo con el Acuerdo 001 de 2024, la entidad debe:</w:t>
      </w:r>
    </w:p>
    <w:p w14:paraId="08DD4935" w14:textId="77777777" w:rsidR="007F0FEC" w:rsidRPr="00E23F2F" w:rsidRDefault="007F0FEC" w:rsidP="007F0FEC">
      <w:pPr>
        <w:numPr>
          <w:ilvl w:val="0"/>
          <w:numId w:val="1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Indicar la existencia de estos órganos, o </w:t>
      </w:r>
    </w:p>
    <w:p w14:paraId="2C4E2F20" w14:textId="77777777" w:rsidR="007F0FEC" w:rsidRPr="00E23F2F" w:rsidRDefault="007F0FEC" w:rsidP="007F0FEC">
      <w:pPr>
        <w:numPr>
          <w:ilvl w:val="0"/>
          <w:numId w:val="1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Justificar su no conformación. </w:t>
      </w:r>
    </w:p>
    <w:p w14:paraId="4E72B34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215527D4"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1.4 La entidad anexa la estructura orgánica vigente (organigrama), sustentada en actos administrativos o documentos equivalentes.</w:t>
      </w:r>
    </w:p>
    <w:p w14:paraId="5AE5B2D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anexa un organigrama independiente donde se identifican las unidades básicas (Personería y Secretaría). Sin embargo:</w:t>
      </w:r>
    </w:p>
    <w:p w14:paraId="390B2FEF" w14:textId="77777777" w:rsidR="007F0FEC" w:rsidRPr="00E23F2F" w:rsidRDefault="007F0FEC" w:rsidP="007F0FEC">
      <w:pPr>
        <w:numPr>
          <w:ilvl w:val="0"/>
          <w:numId w:val="1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El documento no cita acto administrativo que lo respalde. </w:t>
      </w:r>
    </w:p>
    <w:p w14:paraId="7D3ABC63" w14:textId="77777777" w:rsidR="007F0FEC" w:rsidRPr="00E23F2F" w:rsidRDefault="007F0FEC" w:rsidP="007F0FEC">
      <w:pPr>
        <w:numPr>
          <w:ilvl w:val="0"/>
          <w:numId w:val="1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contiene fuente ni referencia normativa. </w:t>
      </w:r>
    </w:p>
    <w:p w14:paraId="515A16A1" w14:textId="77777777" w:rsidR="007F0FEC" w:rsidRPr="00E23F2F" w:rsidRDefault="007F0FEC" w:rsidP="007F0FEC">
      <w:pPr>
        <w:numPr>
          <w:ilvl w:val="0"/>
          <w:numId w:val="1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Aunque la memoria descriptiva menciona su origen, el anexo carece de trazabilidad directa. </w:t>
      </w:r>
    </w:p>
    <w:p w14:paraId="0822F14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incumple el principio de soporte documental exigido por el AGN.</w:t>
      </w:r>
    </w:p>
    <w:p w14:paraId="3F8F4C5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7770A91A"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Imagen 1.</w:t>
      </w:r>
    </w:p>
    <w:p w14:paraId="3814422E"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lastRenderedPageBreak/>
        <w:t xml:space="preserve"> </w:t>
      </w:r>
      <w:r w:rsidRPr="00E23F2F">
        <w:rPr>
          <w:rFonts w:ascii="Arial" w:hAnsi="Arial" w:cs="Arial"/>
          <w:noProof/>
          <w:color w:val="000000"/>
          <w:sz w:val="24"/>
          <w:szCs w:val="24"/>
        </w:rPr>
        <w:drawing>
          <wp:inline distT="0" distB="0" distL="0" distR="0" wp14:anchorId="1BAAB94F" wp14:editId="7F93CDDB">
            <wp:extent cx="2498635" cy="2609850"/>
            <wp:effectExtent l="0" t="0" r="0" b="0"/>
            <wp:docPr id="423281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81485" name=""/>
                    <pic:cNvPicPr/>
                  </pic:nvPicPr>
                  <pic:blipFill>
                    <a:blip r:embed="rId8"/>
                    <a:stretch>
                      <a:fillRect/>
                    </a:stretch>
                  </pic:blipFill>
                  <pic:spPr>
                    <a:xfrm>
                      <a:off x="0" y="0"/>
                      <a:ext cx="2502144" cy="2613515"/>
                    </a:xfrm>
                    <a:prstGeom prst="rect">
                      <a:avLst/>
                    </a:prstGeom>
                  </pic:spPr>
                </pic:pic>
              </a:graphicData>
            </a:graphic>
          </wp:inline>
        </w:drawing>
      </w:r>
    </w:p>
    <w:p w14:paraId="7C3BC2BD"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 xml:space="preserve">1.5 La entidad anexa el cuadro de clasificación documental (CCD). El CCD representa de forma unificada y debidamente codificadas y jerarquizadas las agrupaciones documentales en las cuales se subdivide el fondo, es decir, </w:t>
      </w:r>
      <w:proofErr w:type="spellStart"/>
      <w:r w:rsidRPr="00E23F2F">
        <w:rPr>
          <w:rFonts w:ascii="Arial" w:hAnsi="Arial" w:cs="Arial"/>
          <w:b/>
          <w:color w:val="000000"/>
          <w:sz w:val="24"/>
          <w:szCs w:val="24"/>
        </w:rPr>
        <w:t>subfondos</w:t>
      </w:r>
      <w:proofErr w:type="spellEnd"/>
      <w:r w:rsidRPr="00E23F2F">
        <w:rPr>
          <w:rFonts w:ascii="Arial" w:hAnsi="Arial" w:cs="Arial"/>
          <w:b/>
          <w:color w:val="000000"/>
          <w:sz w:val="24"/>
          <w:szCs w:val="24"/>
        </w:rPr>
        <w:t xml:space="preserve"> (de ser el caso), secciones, subsecciones, series y subseries.</w:t>
      </w:r>
    </w:p>
    <w:p w14:paraId="6650E68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adjunta el CCD, el cual presenta:</w:t>
      </w:r>
    </w:p>
    <w:p w14:paraId="48A82168" w14:textId="77777777" w:rsidR="007F0FEC" w:rsidRPr="00E23F2F" w:rsidRDefault="007F0FEC" w:rsidP="007F0FEC">
      <w:pPr>
        <w:numPr>
          <w:ilvl w:val="0"/>
          <w:numId w:val="16"/>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Codificación </w:t>
      </w:r>
    </w:p>
    <w:p w14:paraId="7516693F" w14:textId="77777777" w:rsidR="007F0FEC" w:rsidRPr="00E23F2F" w:rsidRDefault="007F0FEC" w:rsidP="007F0FEC">
      <w:pPr>
        <w:numPr>
          <w:ilvl w:val="0"/>
          <w:numId w:val="16"/>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Jerarquización </w:t>
      </w:r>
    </w:p>
    <w:p w14:paraId="77D08740" w14:textId="77777777" w:rsidR="007F0FEC" w:rsidRPr="00E23F2F" w:rsidRDefault="007F0FEC" w:rsidP="007F0FEC">
      <w:pPr>
        <w:numPr>
          <w:ilvl w:val="0"/>
          <w:numId w:val="16"/>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Identificación de secciones (Personería, Secretaría) y sus agrupaciones documentales </w:t>
      </w:r>
    </w:p>
    <w:p w14:paraId="15E19BB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coherencia con la estructura funcional de la entidad.</w:t>
      </w:r>
    </w:p>
    <w:p w14:paraId="0B1F598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4CBA63AA"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1.6 La entidad adjunta copia del acta de la(s) sesión(es) en las cuales se avalaron las Tablas de Retención Documental por parte del órgano colegiado que tiene tal función.</w:t>
      </w:r>
    </w:p>
    <w:p w14:paraId="258E3F8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aporta un acta en la cual se evidencia el desarrollo de una sesión formal donde:</w:t>
      </w:r>
    </w:p>
    <w:p w14:paraId="5D273465"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verificó quórum por parte del Personero. </w:t>
      </w:r>
    </w:p>
    <w:p w14:paraId="4411DC2F"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socializaron los instrumentos archivísticos (PGD, PINAR, TRD y CCD). </w:t>
      </w:r>
    </w:p>
    <w:p w14:paraId="7C38DA93"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dejó constancia de la aprobación unánime de las TRD. </w:t>
      </w:r>
    </w:p>
    <w:p w14:paraId="2C264200"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autorizó su envío al Consejo Departamental de Archivos para su convalidación. </w:t>
      </w:r>
    </w:p>
    <w:p w14:paraId="52BEB29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Este contenido permite establecer que existió una instancia colegiada que conoció, evaluó y aprobó las Tablas de Retención Documental, cumpliendo con el requisito de validación previa exigido por el AGN.</w:t>
      </w:r>
    </w:p>
    <w:p w14:paraId="78D56A3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El acta, demuestra que la entidad sí realizó el proceso de aprobación mediante sesión formal con quórum y decisiones documentadas.</w:t>
      </w:r>
    </w:p>
    <w:p w14:paraId="2E57F43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7F413CD8"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1.7 La entidad adjunta el acto administrativo o el documento equivalente expedido por el representante legal mediante el cual se aprueban las TRD.</w:t>
      </w:r>
    </w:p>
    <w:p w14:paraId="04C81A44"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no presenta dentro de los anexos un acto administrativo expedido por el representante legal, mediante el cual se adopten formalmente las Tablas de Retención Documental.</w:t>
      </w:r>
    </w:p>
    <w:p w14:paraId="0BA4567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Si bien existe evidencia de aprobación en sesión, esto no reemplaza el requisito normativo de expedición de un acto administrativo formal de adopción, el cual es obligatorio según el Acuerdo 001 de 2024 del AGN.</w:t>
      </w:r>
    </w:p>
    <w:p w14:paraId="3A9673DE"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ausencia de este documento, impide acreditar la oficialización del instrumento al interior de la entidad.</w:t>
      </w:r>
    </w:p>
    <w:p w14:paraId="38E7D48E"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142CB255"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 MEMORIA DESCRIPTIVA</w:t>
      </w:r>
    </w:p>
    <w:p w14:paraId="11C21E7B"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5F17FF9E"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2.1 Presenta la memoria descriptiva con la cual la entidad adelantó el proceso de elaboración o actualización de las TRD.</w:t>
      </w:r>
    </w:p>
    <w:p w14:paraId="36B62D4F"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adjunta la memoria descriptiva como parte del instrumento archivístico, evidenciando el desarrollo metodológico para la elaboración de las TRD.</w:t>
      </w:r>
    </w:p>
    <w:p w14:paraId="05F51289"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25D4B54A"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2.2. La memoria descriptiva explica cómo está conformada la estructura orgánico – funcional de la entidad, sustentada en actos administrativos u otros documentos que le den validez.</w:t>
      </w:r>
    </w:p>
    <w:p w14:paraId="6C3B8F1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memoria descriptiva, incluye un apartado donde se describe la estructura de la entidad (Personero y Secretaría), sustentada en la Resolución Administrativa No. 09 de 2020, lo cual le da validez normativa.</w:t>
      </w:r>
    </w:p>
    <w:p w14:paraId="43EDD3A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la explicación es básica y limitada, sin mayor desarrollo funcional o articulación detallada entre dependencias.</w:t>
      </w:r>
    </w:p>
    <w:p w14:paraId="15DC92A5"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lastRenderedPageBreak/>
        <w:t>Cumple parcialmente</w:t>
      </w:r>
    </w:p>
    <w:p w14:paraId="49F27E89"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2.3. La memoria descriptiva incluye un apartado en el cual se indica cómo se establece la codificación de los Cuadros de Clasificación Documental (CCD) y las TRD.</w:t>
      </w:r>
    </w:p>
    <w:p w14:paraId="76ED294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evidencia, que la memoria descriptiva menciona la codificación empleada en el CCD y las TRD; sin embargo, la explicación no es suficientemente detallada en cuanto a:</w:t>
      </w:r>
    </w:p>
    <w:p w14:paraId="03549A81" w14:textId="77777777" w:rsidR="007F0FEC" w:rsidRPr="00E23F2F" w:rsidRDefault="007F0FEC" w:rsidP="007F0FEC">
      <w:pPr>
        <w:numPr>
          <w:ilvl w:val="0"/>
          <w:numId w:val="18"/>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Metodología de construcción de códigos. </w:t>
      </w:r>
    </w:p>
    <w:p w14:paraId="5FB7EBF4" w14:textId="77777777" w:rsidR="007F0FEC" w:rsidRPr="00E23F2F" w:rsidRDefault="007F0FEC" w:rsidP="007F0FEC">
      <w:pPr>
        <w:numPr>
          <w:ilvl w:val="0"/>
          <w:numId w:val="18"/>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Relación jerárquica completa. </w:t>
      </w:r>
    </w:p>
    <w:p w14:paraId="2DE3C61D" w14:textId="77777777" w:rsidR="007F0FEC" w:rsidRPr="00E23F2F" w:rsidRDefault="007F0FEC" w:rsidP="007F0FEC">
      <w:pPr>
        <w:numPr>
          <w:ilvl w:val="0"/>
          <w:numId w:val="18"/>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Criterios técnicos de asignación. </w:t>
      </w:r>
    </w:p>
    <w:p w14:paraId="1634022E"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limita la comprensión integral del sistema de clasificación.</w:t>
      </w:r>
    </w:p>
    <w:p w14:paraId="644468A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2F702650"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2.4. La memoria descriptiva incluye indicaciones sobre el diligenciamiento y lectura del formato de TRD. Sin embargo, cuando el formato de TRD presentado por la entidad incluya casillas diferentes a las establecidas por la norma (Acuerdo 001 de 2024), será necesario que la entidad brinde la información para comprender su contenido.</w:t>
      </w:r>
    </w:p>
    <w:p w14:paraId="7C7A9BC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memoria descriptiva, presenta orientaciones generales sobre el uso del formato TRD; sin embargo:</w:t>
      </w:r>
    </w:p>
    <w:p w14:paraId="06B6535F" w14:textId="77777777" w:rsidR="007F0FEC" w:rsidRPr="00E23F2F" w:rsidRDefault="007F0FEC" w:rsidP="007F0FEC">
      <w:pPr>
        <w:numPr>
          <w:ilvl w:val="0"/>
          <w:numId w:val="19"/>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desarrolla de manera clara la lectura e interpretación de cada campo. </w:t>
      </w:r>
    </w:p>
    <w:p w14:paraId="1BA91A96" w14:textId="77777777" w:rsidR="007F0FEC" w:rsidRPr="00E23F2F" w:rsidRDefault="007F0FEC" w:rsidP="007F0FEC">
      <w:pPr>
        <w:numPr>
          <w:ilvl w:val="0"/>
          <w:numId w:val="19"/>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profundiza en posibles particularidades del formato utilizado. </w:t>
      </w:r>
    </w:p>
    <w:p w14:paraId="416DB360"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Dado que el Acuerdo 001 exige claridad para la comprensión del instrumento, la información resulta insuficiente.</w:t>
      </w:r>
    </w:p>
    <w:p w14:paraId="28873D4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67466046" w14:textId="77777777" w:rsidR="007F0FEC" w:rsidRPr="00E23F2F" w:rsidRDefault="007F0FEC" w:rsidP="007F0FEC">
      <w:pPr>
        <w:spacing w:after="160"/>
        <w:jc w:val="both"/>
        <w:rPr>
          <w:rFonts w:ascii="Arial" w:hAnsi="Arial" w:cs="Arial"/>
          <w:b/>
          <w:color w:val="000000"/>
          <w:sz w:val="24"/>
          <w:szCs w:val="24"/>
          <w:highlight w:val="yellow"/>
        </w:rPr>
      </w:pPr>
      <w:r w:rsidRPr="00E23F2F">
        <w:rPr>
          <w:rFonts w:ascii="Arial" w:hAnsi="Arial" w:cs="Arial"/>
          <w:b/>
          <w:color w:val="000000"/>
          <w:sz w:val="24"/>
          <w:szCs w:val="24"/>
        </w:rPr>
        <w:t>2.5 La entidad indica cuáles fueron los criterios generales para definir los tiempos de retención de series y subseries documentales.</w:t>
      </w:r>
    </w:p>
    <w:p w14:paraId="11E83FF7"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menciona criterios generales de valoración documental (administrativos, legales e históricos); no obstante:</w:t>
      </w:r>
    </w:p>
    <w:p w14:paraId="15EA94BD" w14:textId="77777777" w:rsidR="007F0FEC" w:rsidRPr="00E23F2F" w:rsidRDefault="007F0FEC" w:rsidP="007F0FEC">
      <w:pPr>
        <w:numPr>
          <w:ilvl w:val="0"/>
          <w:numId w:val="20"/>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se evidencia una explicación detallada o metodológica. </w:t>
      </w:r>
    </w:p>
    <w:p w14:paraId="6358DE5D" w14:textId="77777777" w:rsidR="007F0FEC" w:rsidRPr="00E23F2F" w:rsidRDefault="007F0FEC" w:rsidP="007F0FEC">
      <w:pPr>
        <w:numPr>
          <w:ilvl w:val="0"/>
          <w:numId w:val="20"/>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se relacionan claramente con las series documentales específicas. </w:t>
      </w:r>
    </w:p>
    <w:p w14:paraId="63578F7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debilita la trazabilidad de la decisión archivística.</w:t>
      </w:r>
    </w:p>
    <w:p w14:paraId="3127C7D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5E2A1D07"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2.6. La entidad indica cuáles fueron los criterios generales para definir la disposición final de series y subseries documentales.</w:t>
      </w:r>
    </w:p>
    <w:p w14:paraId="10A88FE7"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memoria descriptiva, hace referencia a criterios generales para la disposición final (conservación, eliminación, selección); sin embargo:</w:t>
      </w:r>
    </w:p>
    <w:p w14:paraId="2DA55C26" w14:textId="77777777" w:rsidR="007F0FEC" w:rsidRPr="00E23F2F" w:rsidRDefault="007F0FEC" w:rsidP="007F0FEC">
      <w:pPr>
        <w:numPr>
          <w:ilvl w:val="0"/>
          <w:numId w:val="21"/>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La justificación es general y no suficientemente técnica. </w:t>
      </w:r>
    </w:p>
    <w:p w14:paraId="3BCCDF5E" w14:textId="77777777" w:rsidR="007F0FEC" w:rsidRPr="00E23F2F" w:rsidRDefault="007F0FEC" w:rsidP="007F0FEC">
      <w:pPr>
        <w:numPr>
          <w:ilvl w:val="0"/>
          <w:numId w:val="21"/>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se evidencia una relación clara con procesos de valoración documental estructurados. </w:t>
      </w:r>
    </w:p>
    <w:p w14:paraId="3DA1F084"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0894C9DA"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b/>
          <w:color w:val="000000"/>
          <w:sz w:val="24"/>
          <w:szCs w:val="24"/>
        </w:rPr>
        <w:t>2.7 En el caso de las series y subseries documentales con disposición final Selección (S), la entidad indica con base en qué criterios determinan el tamaño de las muestras y los métodos de selección</w:t>
      </w:r>
      <w:r w:rsidRPr="00E23F2F">
        <w:rPr>
          <w:rFonts w:ascii="Arial" w:hAnsi="Arial" w:cs="Arial"/>
          <w:color w:val="000000"/>
          <w:sz w:val="24"/>
          <w:szCs w:val="24"/>
        </w:rPr>
        <w:t>.</w:t>
      </w:r>
    </w:p>
    <w:p w14:paraId="4F107820"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desarrolla de manera amplia los criterios de selección documental en su memoria descriptiva, incluyendo:</w:t>
      </w:r>
    </w:p>
    <w:p w14:paraId="45DD4BDA"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Definición del proceso de selección mediante muestreo. </w:t>
      </w:r>
    </w:p>
    <w:p w14:paraId="55B3B712"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Identificación de criterios cuantitativos, estableciendo rangos porcentuales claros (15%, 10%, 5%) según el volumen documental. </w:t>
      </w:r>
    </w:p>
    <w:p w14:paraId="6A831550"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Inclusión de criterios cualitativos, tales como: </w:t>
      </w:r>
    </w:p>
    <w:p w14:paraId="41D58DDB"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Homogeneidad y heterogeneidad documental. </w:t>
      </w:r>
    </w:p>
    <w:p w14:paraId="38AFE4B3"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Valor informativo. </w:t>
      </w:r>
    </w:p>
    <w:p w14:paraId="4EE56E35"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Relación con la misión institucional. </w:t>
      </w:r>
    </w:p>
    <w:p w14:paraId="52C1D686"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Impacto de la producción documental. </w:t>
      </w:r>
    </w:p>
    <w:p w14:paraId="714FA267"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Definición del método de selección como muestra intencional, combinando criterios cualitativos y cuantitativos. </w:t>
      </w:r>
    </w:p>
    <w:p w14:paraId="17162D7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Este desarrollo cumple con lo exigido por el Acuerdo 001 de 2024, al indicar:</w:t>
      </w:r>
    </w:p>
    <w:p w14:paraId="48DA5B23" w14:textId="77777777" w:rsidR="007F0FEC" w:rsidRPr="00E23F2F" w:rsidRDefault="007F0FEC" w:rsidP="007F0FEC">
      <w:pPr>
        <w:numPr>
          <w:ilvl w:val="0"/>
          <w:numId w:val="23"/>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Tamaño de muestra </w:t>
      </w:r>
    </w:p>
    <w:p w14:paraId="7BE716B1" w14:textId="77777777" w:rsidR="007F0FEC" w:rsidRPr="00E23F2F" w:rsidRDefault="007F0FEC" w:rsidP="007F0FEC">
      <w:pPr>
        <w:numPr>
          <w:ilvl w:val="0"/>
          <w:numId w:val="23"/>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Método de selección </w:t>
      </w:r>
    </w:p>
    <w:p w14:paraId="6B5E815B" w14:textId="77777777" w:rsidR="007F0FEC" w:rsidRPr="00E23F2F" w:rsidRDefault="007F0FEC" w:rsidP="007F0FEC">
      <w:pPr>
        <w:numPr>
          <w:ilvl w:val="0"/>
          <w:numId w:val="23"/>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Criterios técnicos aplicables </w:t>
      </w:r>
    </w:p>
    <w:p w14:paraId="2395600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información es clara, suficiente y técnicamente sustentada.</w:t>
      </w:r>
    </w:p>
    <w:p w14:paraId="349253B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6CA1BB5D"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b/>
          <w:color w:val="000000"/>
          <w:sz w:val="24"/>
          <w:szCs w:val="24"/>
        </w:rPr>
        <w:lastRenderedPageBreak/>
        <w:t>2.8 En el caso de las series y subseries documentales que vayan a reproducirse por otros medios tecnológicos se justifica el motivo de esta decisión</w:t>
      </w:r>
      <w:r w:rsidRPr="00E23F2F">
        <w:rPr>
          <w:rFonts w:ascii="Arial" w:hAnsi="Arial" w:cs="Arial"/>
          <w:color w:val="000000"/>
          <w:sz w:val="24"/>
          <w:szCs w:val="24"/>
        </w:rPr>
        <w:t>.</w:t>
      </w:r>
    </w:p>
    <w:p w14:paraId="139DC79D"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establece en la memoria descriptiva un apartado específico para la digitalización, en el cual:</w:t>
      </w:r>
    </w:p>
    <w:p w14:paraId="26FF8A02"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Define el uso de digitalización en formato PDF/A como medio técnico. </w:t>
      </w:r>
    </w:p>
    <w:p w14:paraId="345E3C81"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Justifica su aplicación en series con conservación total y valor histórico. </w:t>
      </w:r>
    </w:p>
    <w:p w14:paraId="1E43E92C"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Indica el propósito de: </w:t>
      </w:r>
    </w:p>
    <w:p w14:paraId="2E54FB53"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Facilitar la consulta. </w:t>
      </w:r>
    </w:p>
    <w:p w14:paraId="0D3A7DCA"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Preservar los documentos originales. </w:t>
      </w:r>
    </w:p>
    <w:p w14:paraId="17F871AC"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Garantizar la conservación a largo plazo.</w:t>
      </w:r>
    </w:p>
    <w:p w14:paraId="312D8B4F"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Señala condiciones operativas: </w:t>
      </w:r>
    </w:p>
    <w:p w14:paraId="3B46158A"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Responsable (área de archivo o quien haga sus veces). </w:t>
      </w:r>
    </w:p>
    <w:p w14:paraId="0AB51FAF"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Momento de ejecución (una vez cumplido el tiempo de retención en archivo central). </w:t>
      </w:r>
    </w:p>
    <w:p w14:paraId="618D3A2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justificación es clara, coherente con los principios de preservación documental y cumple con lo exigido por la norma en cuanto a motivación técnica de la reproducción.</w:t>
      </w:r>
    </w:p>
    <w:p w14:paraId="01FD42F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7D67B53A"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 ESTRUCTURA ORGÁNICA</w:t>
      </w:r>
    </w:p>
    <w:p w14:paraId="0EA07F04"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3E356331"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3.1 El número de TRD presentadas corresponde con el número de unidades administrativas que conforman la estructura orgánica vigente de la entidad.</w:t>
      </w:r>
    </w:p>
    <w:p w14:paraId="212B251F"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presenta Tablas de Retención Documental, asociadas a las unidades identificadas en su estructura: Personería (100) y Secretaría (200), lo cual es consistente con el organigrama aportado.</w:t>
      </w:r>
    </w:p>
    <w:p w14:paraId="0F3BD355"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Asimismo, en la Resolución Administrativa No. 09 de 2020, se identifican los cargos que conforman la entidad (Personero y Secretaría), lo cual permite inferir las unidades administrativas existentes. En este sentido, las TRD presentadas guardan correspondencia con dicha estructura.</w:t>
      </w:r>
    </w:p>
    <w:p w14:paraId="052718C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se evidencian unidades administrativas adicionales sin TRD, ni TRD sin unidad productora identificada.</w:t>
      </w:r>
    </w:p>
    <w:p w14:paraId="47EE6D4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lastRenderedPageBreak/>
        <w:t>Cumple</w:t>
      </w:r>
    </w:p>
    <w:p w14:paraId="20E2EE3F"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b/>
          <w:color w:val="000000"/>
          <w:sz w:val="24"/>
          <w:szCs w:val="24"/>
        </w:rPr>
        <w:t>3.2 Las unidades administrativas a las cuales se les elaboró TRD están sustentadas por actos administrativos o los documentos equivalentes que den cuenta de su creación</w:t>
      </w:r>
      <w:r w:rsidRPr="00E23F2F">
        <w:rPr>
          <w:rFonts w:ascii="Arial" w:hAnsi="Arial" w:cs="Arial"/>
          <w:color w:val="000000"/>
          <w:sz w:val="24"/>
          <w:szCs w:val="24"/>
        </w:rPr>
        <w:t>.</w:t>
      </w:r>
    </w:p>
    <w:p w14:paraId="3CDABC3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sustenta su estructura en un acto administrativo que define cargos, mas no unidades administrativas. En consecuencia, no hay correspondencia directa entre las unidades para las cuales se elaboraron las TRD y un acto administrativo que las cree formalmente como dependencias.</w:t>
      </w:r>
    </w:p>
    <w:p w14:paraId="2E73F90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32245F79"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3.3 La estructura orgánica (organigrama) de la entidad representa la totalidad de las unidades administrativas que la conforman, de acuerdo con los actos administrativos o los documentos equivalentes que dan cuenta de su creación.</w:t>
      </w:r>
    </w:p>
    <w:p w14:paraId="386F831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El organigrama, presenta unidades administrativas (Personería y Secretaría); sin embargo, el acto administrativo únicamente define cargos. Esta diferencia no se encuentra justificada ni explicada en la memoria descriptiva, lo cual genera una inconsistencia entre la estructura representada y su sustento normativo.</w:t>
      </w:r>
    </w:p>
    <w:p w14:paraId="29040269"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19DD4AD1"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3.4 La estructura orgánica (organigrama) representa exclusivamente unidades administrativas o las diferencia claramente de las que no lo son.</w:t>
      </w:r>
    </w:p>
    <w:p w14:paraId="598BF124"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El organigrama de la Personería de Granada, presenta dos elementos: Personería y Secretaría, los cuales aparentan ser unidades administrativas. No obstante, al contrastar esta información con el acto administrativo (Resolución 09 de 2020), se evidencia que este define cargos (Personero/a y </w:t>
      </w:r>
      <w:proofErr w:type="gramStart"/>
      <w:r w:rsidRPr="00E23F2F">
        <w:rPr>
          <w:rFonts w:ascii="Arial" w:hAnsi="Arial" w:cs="Arial"/>
          <w:color w:val="000000"/>
          <w:sz w:val="24"/>
          <w:szCs w:val="24"/>
          <w:lang w:val="es-CO"/>
        </w:rPr>
        <w:t>Secretario</w:t>
      </w:r>
      <w:proofErr w:type="gramEnd"/>
      <w:r w:rsidRPr="00E23F2F">
        <w:rPr>
          <w:rFonts w:ascii="Arial" w:hAnsi="Arial" w:cs="Arial"/>
          <w:color w:val="000000"/>
          <w:sz w:val="24"/>
          <w:szCs w:val="24"/>
          <w:lang w:val="es-CO"/>
        </w:rPr>
        <w:t>/a) y no dependencias formalmente constituidas.</w:t>
      </w:r>
    </w:p>
    <w:p w14:paraId="68AEDB4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se presenta una ambigüedad conceptual, ya que:</w:t>
      </w:r>
    </w:p>
    <w:p w14:paraId="171F0D89" w14:textId="1D9EFC73"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El organigrama representa elementos como si fueran unidades administrativas. </w:t>
      </w:r>
    </w:p>
    <w:p w14:paraId="1D56F2F9"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lang w:val="es-CO"/>
        </w:rPr>
        <w:t xml:space="preserve"> Pero su sustento normativo corresponde a cargos, sin que exista una diferenciación clara entre ambos conceptos.</w:t>
      </w:r>
    </w:p>
    <w:p w14:paraId="2BB408C2"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Adicionalmente, no se evidencia en la memoria descriptiva una explicación que justifique esta equivalencia o que aclare que, dada la estructura mínima de la entidad, los cargos se asumen como unidades administrativas para efectos archivísticos.</w:t>
      </w:r>
    </w:p>
    <w:p w14:paraId="34C0CD3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implica que la estructura orgánica:</w:t>
      </w:r>
    </w:p>
    <w:p w14:paraId="638CE562" w14:textId="77777777" w:rsidR="007F0FEC" w:rsidRPr="00E23F2F" w:rsidRDefault="007F0FEC" w:rsidP="007F0FEC">
      <w:pPr>
        <w:numPr>
          <w:ilvl w:val="0"/>
          <w:numId w:val="2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distingue claramente entre cargos y dependencias, y </w:t>
      </w:r>
    </w:p>
    <w:p w14:paraId="2F48C1DC" w14:textId="77777777" w:rsidR="007F0FEC" w:rsidRPr="00E23F2F" w:rsidRDefault="007F0FEC" w:rsidP="007F0FEC">
      <w:pPr>
        <w:numPr>
          <w:ilvl w:val="0"/>
          <w:numId w:val="2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Puede inducir a una interpretación errónea de la organización administrativa.</w:t>
      </w:r>
    </w:p>
    <w:p w14:paraId="1541E5EC"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De acuerdo con el Acuerdo 001 de 2024 del AGN, la estructura orgánica debe representar exclusivamente unidades administrativas o diferenciarlas claramente de otros elementos, lo cual en este caso no se cumple.</w:t>
      </w:r>
    </w:p>
    <w:p w14:paraId="1C1E4FC6" w14:textId="77777777" w:rsidR="007F0FEC" w:rsidRPr="00E23F2F" w:rsidRDefault="007F0FEC" w:rsidP="007F0FEC">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No cumple. </w:t>
      </w:r>
    </w:p>
    <w:p w14:paraId="643C73B5"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4. RELACIÓN SERIES – FUNCIONES</w:t>
      </w:r>
    </w:p>
    <w:p w14:paraId="7E2FE528"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0E7719C8"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4.1. Las series y subseries documentales registradas en cada una de las TRD corresponden con las funciones de la unidad administrativa que las produce.</w:t>
      </w:r>
    </w:p>
    <w:p w14:paraId="0A24D704"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La Personería de Granada, registra en sus Tablas de Retención Documental series y subseries documentales asociadas a las unidades productoras definidas. Al realizar el contraste con el Manual de Funciones adoptado mediante la Resolución Administrativa No. 09 de 2020, se evidencia que la producción documental responde directamente a las funciones asignadas a la entidad.</w:t>
      </w:r>
    </w:p>
    <w:p w14:paraId="42596143"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En el caso verificado, la serie “Acciones Constitucionales”, subserie “Acciones de Cumplimiento”, corresponde de manera directa con funciones del Personero Municipal relacionadas con: </w:t>
      </w:r>
    </w:p>
    <w:p w14:paraId="79F512A4" w14:textId="77777777" w:rsidR="007F0FEC" w:rsidRPr="00E23F2F" w:rsidRDefault="007F0FEC" w:rsidP="007F0FEC">
      <w:pPr>
        <w:numPr>
          <w:ilvl w:val="0"/>
          <w:numId w:val="26"/>
        </w:num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La vigilancia del cumplimiento de la Constitución, la ley y los actos administrativos. </w:t>
      </w:r>
    </w:p>
    <w:p w14:paraId="49D90C79" w14:textId="77777777" w:rsidR="007F0FEC" w:rsidRPr="00E23F2F" w:rsidRDefault="007F0FEC" w:rsidP="007F0FEC">
      <w:pPr>
        <w:numPr>
          <w:ilvl w:val="0"/>
          <w:numId w:val="26"/>
        </w:num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La interposición y participación en acciones judiciales y constitucionales. </w:t>
      </w:r>
    </w:p>
    <w:p w14:paraId="26C05134" w14:textId="77777777" w:rsidR="007F0FEC" w:rsidRPr="00E23F2F" w:rsidRDefault="007F0FEC" w:rsidP="007F0FEC">
      <w:pPr>
        <w:numPr>
          <w:ilvl w:val="0"/>
          <w:numId w:val="26"/>
        </w:num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La defensa del orden jurídico, los derechos fundamentales y los intereses colectivos. </w:t>
      </w:r>
    </w:p>
    <w:p w14:paraId="3AF80A2A"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Estas funciones, sustentan plenamente la existencia de dicha subserie, evidenciando una relación clara entre función y producción documental.</w:t>
      </w:r>
    </w:p>
    <w:p w14:paraId="58AAB1AB"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Adicionalmente, conforme a la verificación realizada, esta correspondencia no se presenta de manera aislada, sino que se mantiene de forma consistente en la totalidad de las series y subseries documentales incluidas en las TRD. Esto indica que la entidad estructuró su instrumento archivístico con base en su función misional y administrativa, en concordancia con los principios archivísticos establecidos por el AGN.</w:t>
      </w:r>
    </w:p>
    <w:p w14:paraId="276EC0BE"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consecuencia, se evidencia una adecuada articulación entre las funciones institucionales y la producción documental, garantizando la pertinencia de las series y subseries definidas</w:t>
      </w:r>
    </w:p>
    <w:p w14:paraId="5EE507C6" w14:textId="77777777" w:rsidR="007F0FEC" w:rsidRPr="00E23F2F" w:rsidRDefault="007F0FEC" w:rsidP="007F0FEC">
      <w:pPr>
        <w:spacing w:after="160"/>
        <w:jc w:val="both"/>
        <w:rPr>
          <w:rFonts w:ascii="Arial" w:hAnsi="Arial" w:cs="Arial"/>
          <w:b/>
          <w:color w:val="000000"/>
          <w:sz w:val="24"/>
          <w:szCs w:val="24"/>
          <w:lang w:val="es-CO"/>
        </w:rPr>
      </w:pPr>
      <w:r w:rsidRPr="00E23F2F">
        <w:rPr>
          <w:rFonts w:ascii="Arial" w:hAnsi="Arial" w:cs="Arial"/>
          <w:b/>
          <w:color w:val="000000"/>
          <w:sz w:val="24"/>
          <w:szCs w:val="24"/>
          <w:lang w:val="es-CO"/>
        </w:rPr>
        <w:t xml:space="preserve">Cumple. </w:t>
      </w:r>
    </w:p>
    <w:p w14:paraId="4483F0BD"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5.</w:t>
      </w:r>
      <w:r w:rsidRPr="00E23F2F">
        <w:rPr>
          <w:rFonts w:ascii="Arial" w:hAnsi="Arial" w:cs="Arial"/>
          <w:color w:val="000000"/>
          <w:sz w:val="24"/>
          <w:szCs w:val="24"/>
        </w:rPr>
        <w:t xml:space="preserve"> </w:t>
      </w:r>
      <w:r w:rsidRPr="00E23F2F">
        <w:rPr>
          <w:rFonts w:ascii="Arial" w:hAnsi="Arial" w:cs="Arial"/>
          <w:b/>
          <w:color w:val="000000"/>
          <w:sz w:val="24"/>
          <w:szCs w:val="24"/>
        </w:rPr>
        <w:t>CONFORMACIÓN DE SERIES</w:t>
      </w:r>
    </w:p>
    <w:p w14:paraId="14B74F3D"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5767A310"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b/>
          <w:color w:val="000000"/>
          <w:sz w:val="24"/>
          <w:szCs w:val="24"/>
        </w:rPr>
        <w:t>5.1 Las tipologías registradas en series y subseries documentales representan la integridad de los expedientes y orden en que son gestionadas, desde el inicio de un trámite hasta su resolución definitiva, de acuerdo con los procedimientos que tiene adoptados la entidad</w:t>
      </w:r>
      <w:r w:rsidRPr="00E23F2F">
        <w:rPr>
          <w:rFonts w:ascii="Arial" w:hAnsi="Arial" w:cs="Arial"/>
          <w:color w:val="000000"/>
          <w:sz w:val="24"/>
          <w:szCs w:val="24"/>
        </w:rPr>
        <w:t>.</w:t>
      </w:r>
    </w:p>
    <w:p w14:paraId="3DE776B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registra en sus Tablas de Retención Documental, tipologías documentales que evidencian una adecuada estructuración de los expedientes, conforme a la secuencia lógica de los trámites institucionales.</w:t>
      </w:r>
    </w:p>
    <w:p w14:paraId="73C2963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que los tipos documentales asociados a las series y subseries permiten identificar las diferentes etapas del procedimiento, desde su inicio, pasando por el desarrollo de las actuaciones administrativas o jurídicas, hasta la decisión final y su correspondiente notificación o cierre. Esta organización responde a los procedimientos adoptados por la entidad y facilita la comprensión integral del trámite.</w:t>
      </w:r>
    </w:p>
    <w:p w14:paraId="0B096AE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este sentido, las tipologías documentales no se presentan como un listado aislado, sino como un conjunto articulado que refleja el flujo documental propio de la gestión institucional, garantizando la integridad de los expedientes y su adecuada conformación.</w:t>
      </w:r>
    </w:p>
    <w:p w14:paraId="0356553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r w:rsidRPr="00E23F2F">
        <w:rPr>
          <w:rFonts w:ascii="Arial" w:hAnsi="Arial" w:cs="Arial"/>
          <w:color w:val="000000"/>
          <w:sz w:val="24"/>
          <w:szCs w:val="24"/>
          <w:lang w:val="es-CO"/>
        </w:rPr>
        <w:t xml:space="preserve">. </w:t>
      </w:r>
    </w:p>
    <w:p w14:paraId="220FF52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5.2. Los tipos documentales están correctamente denominados, es decir, están compuestos por el tipo documental + la actividad o función concerniente, por ejemplo: acta de reunión, informe de avance de ejecución del contrato.</w:t>
      </w:r>
    </w:p>
    <w:p w14:paraId="593C884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cuanto a la denominación de los tipos documentales, la Personería de Granada presenta, en su mayoría, nombres que combinan el tipo documental con la actividad o función correspondiente, tales como: “Oficio de solicitud”, “Oficio de respuesta”, “Resolución de inscripción de veeduría” e “Informe a entidades de vigilancia y entes de control”.</w:t>
      </w:r>
    </w:p>
    <w:p w14:paraId="0245AF1E"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también se evidencian denominaciones genéricas como “Comunicaciones”, “Notificaciones”, “Pruebas”, “Alegatos de conclusión” o “Demanda”, las cuales, si bien son comprensibles en el contexto del expediente, no siempre integran de forma explícita el componente funcional o de actividad, tal como lo sugiere el Acuerdo 001 de 2024 del AGN.</w:t>
      </w:r>
    </w:p>
    <w:p w14:paraId="465BCDC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Esta situación indica que existe un avance en la normalización de los tipos documentales; sin embargo, no se aplica de manera homogénea en todas las tipologías registradas.</w:t>
      </w:r>
    </w:p>
    <w:p w14:paraId="4AF1B710"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Cumple parcialmente. </w:t>
      </w:r>
    </w:p>
    <w:p w14:paraId="46DE28E1"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 DENOMINACIÓN DE SERIES</w:t>
      </w:r>
    </w:p>
    <w:p w14:paraId="53D32CAF"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67661375"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6.1. El nombre asignado a series y subseries representa la función y la producción documental derivada de su cumplimiento.</w:t>
      </w:r>
    </w:p>
    <w:p w14:paraId="52056032"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La Personería de Granada, asigna denominaciones a las series y subseries documentales que guardan relación directa con las funciones institucionales y la producción documental derivada de su ejercicio.</w:t>
      </w:r>
    </w:p>
    <w:p w14:paraId="33483F33" w14:textId="77777777" w:rsidR="00E23F2F" w:rsidRPr="00E23F2F" w:rsidRDefault="00E23F2F" w:rsidP="00E23F2F">
      <w:pPr>
        <w:jc w:val="both"/>
        <w:rPr>
          <w:rFonts w:ascii="Arial" w:hAnsi="Arial" w:cs="Arial"/>
          <w:sz w:val="24"/>
          <w:szCs w:val="24"/>
          <w:lang w:val="es-CO"/>
        </w:rPr>
      </w:pPr>
    </w:p>
    <w:p w14:paraId="75AD439E"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Se evidencia que los nombres utilizados reflejan actividades misionales, administrativas y de control propias de la entidad, lo cual permite identificar claramente el origen funcional de los documentos. Esta correspondencia facilita la comprensión del contexto de producción documental y se ajusta a los principios archivísticos de procedencia y orden original.</w:t>
      </w:r>
    </w:p>
    <w:p w14:paraId="1307F82A" w14:textId="77777777" w:rsidR="00E23F2F" w:rsidRPr="00E23F2F" w:rsidRDefault="00E23F2F" w:rsidP="00E23F2F">
      <w:pPr>
        <w:jc w:val="both"/>
        <w:rPr>
          <w:rFonts w:ascii="Arial" w:hAnsi="Arial" w:cs="Arial"/>
          <w:sz w:val="24"/>
          <w:szCs w:val="24"/>
          <w:lang w:val="es-CO"/>
        </w:rPr>
      </w:pPr>
    </w:p>
    <w:p w14:paraId="33C82F29"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En consecuencia, las denominaciones no son genéricas ni ambiguas, sino que responden a las competencias asignadas a la Personería.</w:t>
      </w:r>
    </w:p>
    <w:p w14:paraId="21C611D0" w14:textId="77777777" w:rsidR="00E23F2F" w:rsidRPr="00E23F2F" w:rsidRDefault="00E23F2F" w:rsidP="00E23F2F">
      <w:pPr>
        <w:jc w:val="both"/>
        <w:rPr>
          <w:rFonts w:ascii="Arial" w:hAnsi="Arial" w:cs="Arial"/>
          <w:sz w:val="24"/>
          <w:szCs w:val="24"/>
          <w:lang w:val="es-CO"/>
        </w:rPr>
      </w:pPr>
    </w:p>
    <w:p w14:paraId="46A60AD7" w14:textId="77777777" w:rsidR="00E23F2F" w:rsidRPr="00E23F2F" w:rsidRDefault="00E23F2F" w:rsidP="00E23F2F">
      <w:pPr>
        <w:jc w:val="both"/>
        <w:rPr>
          <w:rFonts w:ascii="Arial" w:hAnsi="Arial" w:cs="Arial"/>
          <w:sz w:val="24"/>
          <w:szCs w:val="24"/>
          <w:lang w:val="es-CO"/>
        </w:rPr>
      </w:pPr>
      <w:r w:rsidRPr="00E23F2F">
        <w:rPr>
          <w:rFonts w:ascii="Arial" w:hAnsi="Arial" w:cs="Arial"/>
          <w:b/>
          <w:bCs/>
          <w:sz w:val="24"/>
          <w:szCs w:val="24"/>
          <w:lang w:val="es-CO"/>
        </w:rPr>
        <w:t>Cumple</w:t>
      </w:r>
    </w:p>
    <w:p w14:paraId="6AFAAF5F" w14:textId="77777777" w:rsidR="00E23F2F" w:rsidRPr="00E23F2F" w:rsidRDefault="00E23F2F" w:rsidP="00E23F2F">
      <w:pPr>
        <w:jc w:val="both"/>
        <w:rPr>
          <w:rFonts w:ascii="Arial" w:hAnsi="Arial" w:cs="Arial"/>
          <w:b/>
          <w:sz w:val="24"/>
          <w:szCs w:val="24"/>
          <w:highlight w:val="yellow"/>
        </w:rPr>
      </w:pPr>
    </w:p>
    <w:p w14:paraId="2E26C47A"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6.2. El nombre asignado corresponde con lo establecido en normas legales o técnicas. Ejemplo: Consecutivo de comunicaciones oficiales (Acuerdo AGN No.060 del 2000).</w:t>
      </w:r>
    </w:p>
    <w:p w14:paraId="204C44A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series y subseries documentales, se observa que algunas denominaciones coinciden con términos establecidos en normas legales y técnicas, especialmente en lo relacionado con funciones misionales y actuaciones administrativas propias del Ministerio Público.</w:t>
      </w:r>
    </w:p>
    <w:p w14:paraId="28F192D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no se evidencia de manera uniforme el uso de denominaciones estandarizadas conforme a referentes técnicos específicos (como el Banco Terminológico del AGN o normas como el Acuerdo 060 de 2000 en todos los casos aplicables). Algunas series presentan denominaciones ajustadas al contexto institucional, pero no necesariamente alineadas de forma explícita con nomenclaturas normalizadas.</w:t>
      </w:r>
    </w:p>
    <w:p w14:paraId="569AADA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Por lo anterior, si bien existe coherencia funcional, la correspondencia con estándares normativos no es completamente homogénea.</w:t>
      </w:r>
    </w:p>
    <w:p w14:paraId="0704A2F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57EC48D3"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6.3. El nombre de las series y subseries transversales a la administración pública corresponde con los del Banco Terminológico.</w:t>
      </w:r>
    </w:p>
    <w:p w14:paraId="1EB2ACDB" w14:textId="77777777" w:rsidR="00E23F2F" w:rsidRPr="00E23F2F" w:rsidRDefault="00E23F2F" w:rsidP="00E23F2F">
      <w:pPr>
        <w:spacing w:after="160"/>
        <w:jc w:val="both"/>
        <w:rPr>
          <w:rFonts w:ascii="Arial" w:hAnsi="Arial" w:cs="Arial"/>
          <w:color w:val="000000"/>
          <w:sz w:val="24"/>
          <w:szCs w:val="24"/>
          <w:highlight w:val="yellow"/>
          <w:lang w:val="es-CO"/>
        </w:rPr>
      </w:pPr>
      <w:r w:rsidRPr="00E23F2F">
        <w:rPr>
          <w:rFonts w:ascii="Arial" w:hAnsi="Arial" w:cs="Arial"/>
          <w:color w:val="000000"/>
          <w:sz w:val="24"/>
          <w:szCs w:val="24"/>
          <w:lang w:val="es-CO"/>
        </w:rPr>
        <w:t>En la revisión de las Tablas de Retención Documental, de la Personería de Granada, se evidencia que las series y subseries documentales de carácter transversal a la administración pública han sido denominadas conforme a referentes técnicos estandarizados, particularmente los establecidos en el Banco Terminológico del Archivo General de la Nación.</w:t>
      </w:r>
    </w:p>
    <w:p w14:paraId="479E1E1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que las denominaciones empleadas corresponden a términos ampliamente reconocidos en la gestión documental pública, tales como “Contratos”, entre otros, los cuales reflejan adecuadamente la producción documental derivada de funciones administrativas comunes. Asimismo, las subseries asociadas permiten una desagregación coherente de la serie principal, atendiendo a criterios funcionales y tipológicos.</w:t>
      </w:r>
    </w:p>
    <w:p w14:paraId="17F5D5C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acuerdo con la verificación realizada, esta estructura de denominación no se presenta de manera aislada, sino que se mantiene de forma consistente en la totalidad de las series transversales incluidas en las TRD, lo cual evidencia una aplicación uniforme de criterios de normalización archivística.</w:t>
      </w:r>
    </w:p>
    <w:p w14:paraId="4D167F8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Personería de Granada, adopta de manera adecuada las denominaciones establecidas en el Banco Terminológico, garantizando coherencia técnica y facilitando la interoperabilidad y comprensión del instrumento archivístico.</w:t>
      </w:r>
    </w:p>
    <w:p w14:paraId="7326D772"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Cumple</w:t>
      </w:r>
    </w:p>
    <w:p w14:paraId="34243138"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6.4. Las subseries documentales registradas en las TRD se relacionan con la serie de la cual se derivan. Dichas subseries se identifican en forma separada por su contenido y características específicas o por uno o varios tipos documentales diferentes producidos en acciones administrativas semejantes.</w:t>
      </w:r>
    </w:p>
    <w:p w14:paraId="6B80EE1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Las Tablas de Retención Documental, de la Personería de Granada, evidencian que las subseries documentales se derivan de manera lógica y funcional de las series a las cuales pertenecen, manteniendo una relación clara de subordinación y coherencia temática.</w:t>
      </w:r>
    </w:p>
    <w:p w14:paraId="4C3B8DED"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que las subseries permiten desagregar la serie principal en agrupaciones documentales más específicas, diferenciadas por su contenido, características particulares y tipos documentales asociados. Esta diferenciación responde a acciones administrativas o jurídicas semejantes, lo cual facilita la organización, clasificación y recuperación de la información.</w:t>
      </w:r>
    </w:p>
    <w:p w14:paraId="23C08A5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Asimismo, la estructura adoptada evita la duplicidad o ambigüedad en la clasificación documental, garantizando que cada subserie represente una categoría claramente identificable dentro del conjunto documental de la serie.</w:t>
      </w:r>
    </w:p>
    <w:p w14:paraId="2C885C96" w14:textId="05A3569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organización jerárquica entre series y subseries se ajusta a los principios archivísticos y a los lineamientos establecidos por el Archivo General de la Nación, evidenciando una adecuada estructuración del instrumento archivístico.</w:t>
      </w:r>
      <w:r w:rsidR="00965CBC">
        <w:rPr>
          <w:rFonts w:ascii="Arial" w:hAnsi="Arial" w:cs="Arial"/>
          <w:color w:val="000000"/>
          <w:sz w:val="24"/>
          <w:szCs w:val="24"/>
          <w:lang w:val="es-CO"/>
        </w:rPr>
        <w:t xml:space="preserve"> </w:t>
      </w:r>
      <w:r w:rsidR="00965CBC" w:rsidRPr="00965CBC">
        <w:rPr>
          <w:rFonts w:ascii="Arial" w:hAnsi="Arial" w:cs="Arial"/>
          <w:b/>
          <w:bCs/>
          <w:color w:val="000000"/>
          <w:sz w:val="24"/>
          <w:szCs w:val="24"/>
          <w:lang w:val="es-CO"/>
        </w:rPr>
        <w:t>Cumple</w:t>
      </w:r>
      <w:r w:rsidR="00965CBC">
        <w:rPr>
          <w:rFonts w:ascii="Arial" w:hAnsi="Arial" w:cs="Arial"/>
          <w:color w:val="000000"/>
          <w:sz w:val="24"/>
          <w:szCs w:val="24"/>
          <w:lang w:val="es-CO"/>
        </w:rPr>
        <w:t>.</w:t>
      </w:r>
    </w:p>
    <w:p w14:paraId="3F7E0BB2"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7. CODIFICACIÓN</w:t>
      </w:r>
    </w:p>
    <w:p w14:paraId="61937C19"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de la Entidad, frente a los siguientes requerimientos.</w:t>
      </w:r>
    </w:p>
    <w:p w14:paraId="720CB7BA"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7.1. Existe correspondencia entre las series y subseries registradas en CCD y TRD (procedencia, denominación y codificación).</w:t>
      </w:r>
    </w:p>
    <w:p w14:paraId="6CF142F1"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color w:val="000000"/>
          <w:sz w:val="24"/>
          <w:szCs w:val="24"/>
          <w:lang w:val="es-CO"/>
        </w:rPr>
        <w:t>En la revisión del Cuadro de Clasificación Documental (CCD) y las Tablas de Retención Documental (TRD), de la Personería de Granada, se evidencia correspondencia entre las series y subseries documentales en cuanto a su denominación y codificación.</w:t>
      </w:r>
    </w:p>
    <w:p w14:paraId="7EA218CC" w14:textId="77777777" w:rsidR="00E23F2F" w:rsidRPr="00E23F2F" w:rsidRDefault="00E23F2F" w:rsidP="00E23F2F">
      <w:pPr>
        <w:jc w:val="both"/>
        <w:rPr>
          <w:rFonts w:ascii="Arial" w:hAnsi="Arial" w:cs="Arial"/>
          <w:color w:val="000000"/>
          <w:sz w:val="24"/>
          <w:szCs w:val="24"/>
          <w:lang w:val="es-CO"/>
        </w:rPr>
      </w:pPr>
    </w:p>
    <w:p w14:paraId="2B9E570D"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color w:val="000000"/>
          <w:sz w:val="24"/>
          <w:szCs w:val="24"/>
          <w:lang w:val="es-CO"/>
        </w:rPr>
        <w:t>Las agrupaciones documentales registradas en el CCD se reflejan en las TRD, manteniendo coherencia en los nombres asignados y en la identificación de las unidades productoras. Asimismo, la codificación utilizada permite reconocer la procedencia de los documentos y su ubicación dentro de la estructura documental.</w:t>
      </w:r>
    </w:p>
    <w:p w14:paraId="747E5AD2" w14:textId="77777777" w:rsidR="00E23F2F" w:rsidRPr="00E23F2F" w:rsidRDefault="00E23F2F" w:rsidP="00E23F2F">
      <w:pPr>
        <w:jc w:val="both"/>
        <w:rPr>
          <w:rFonts w:ascii="Arial" w:hAnsi="Arial" w:cs="Arial"/>
          <w:color w:val="000000"/>
          <w:sz w:val="24"/>
          <w:szCs w:val="24"/>
          <w:lang w:val="es-CO"/>
        </w:rPr>
      </w:pPr>
    </w:p>
    <w:p w14:paraId="2E6F26F9"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color w:val="000000"/>
          <w:sz w:val="24"/>
          <w:szCs w:val="24"/>
          <w:lang w:val="es-CO"/>
        </w:rPr>
        <w:t>De acuerdo con la verificación realizada, esta correspondencia se mantiene de manera consistente, sin evidenciar diferencias significativas entre ambos instrumentos.</w:t>
      </w:r>
    </w:p>
    <w:p w14:paraId="7936DB85" w14:textId="77777777" w:rsidR="00E23F2F" w:rsidRPr="00E23F2F" w:rsidRDefault="00E23F2F" w:rsidP="00E23F2F">
      <w:pPr>
        <w:jc w:val="both"/>
        <w:rPr>
          <w:rFonts w:ascii="Arial" w:hAnsi="Arial" w:cs="Arial"/>
          <w:color w:val="000000"/>
          <w:sz w:val="24"/>
          <w:szCs w:val="24"/>
          <w:lang w:val="es-CO"/>
        </w:rPr>
      </w:pPr>
    </w:p>
    <w:p w14:paraId="48907EF1"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6A62C6AE" w14:textId="77777777" w:rsidR="00E23F2F" w:rsidRPr="00E23F2F" w:rsidRDefault="00E23F2F" w:rsidP="00E23F2F">
      <w:pPr>
        <w:jc w:val="both"/>
        <w:rPr>
          <w:rFonts w:ascii="Arial" w:hAnsi="Arial" w:cs="Arial"/>
          <w:color w:val="000000"/>
          <w:sz w:val="24"/>
          <w:szCs w:val="24"/>
          <w:lang w:val="es-CO"/>
        </w:rPr>
      </w:pPr>
    </w:p>
    <w:p w14:paraId="6A6CE6F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7.2. La codificación registrada en las TRD y en el CCD representa la jerarquía de las oficinas productoras. </w:t>
      </w:r>
    </w:p>
    <w:p w14:paraId="6EE55ED4" w14:textId="77777777" w:rsidR="00E23F2F" w:rsidRPr="00E23F2F" w:rsidRDefault="00E23F2F" w:rsidP="00E23F2F">
      <w:pPr>
        <w:jc w:val="both"/>
        <w:rPr>
          <w:rFonts w:ascii="Arial" w:hAnsi="Arial" w:cs="Arial"/>
          <w:bCs/>
          <w:sz w:val="24"/>
          <w:szCs w:val="24"/>
          <w:lang w:val="es-CO"/>
        </w:rPr>
      </w:pPr>
      <w:r w:rsidRPr="00E23F2F">
        <w:rPr>
          <w:rFonts w:ascii="Arial" w:hAnsi="Arial" w:cs="Arial"/>
          <w:bCs/>
          <w:sz w:val="24"/>
          <w:szCs w:val="24"/>
          <w:lang w:val="es-CO"/>
        </w:rPr>
        <w:t>La codificación registrada en el CCD y en las TRD de la Personería de Granada, permite identificar la jerarquía de las unidades productoras, partiendo de niveles superiores (Personería) hacia niveles subordinados (Secretaría), de acuerdo con la estructura adoptada por la entidad.</w:t>
      </w:r>
    </w:p>
    <w:p w14:paraId="7073E7B2" w14:textId="77777777" w:rsidR="00E23F2F" w:rsidRPr="00E23F2F" w:rsidRDefault="00E23F2F" w:rsidP="00E23F2F">
      <w:pPr>
        <w:jc w:val="both"/>
        <w:rPr>
          <w:rFonts w:ascii="Arial" w:hAnsi="Arial" w:cs="Arial"/>
          <w:bCs/>
          <w:sz w:val="24"/>
          <w:szCs w:val="24"/>
          <w:lang w:val="es-CO"/>
        </w:rPr>
      </w:pPr>
    </w:p>
    <w:p w14:paraId="298C7B18" w14:textId="77777777" w:rsidR="00E23F2F" w:rsidRPr="00E23F2F" w:rsidRDefault="00E23F2F" w:rsidP="00E23F2F">
      <w:pPr>
        <w:jc w:val="both"/>
        <w:rPr>
          <w:rFonts w:ascii="Arial" w:hAnsi="Arial" w:cs="Arial"/>
          <w:bCs/>
          <w:sz w:val="24"/>
          <w:szCs w:val="24"/>
          <w:lang w:val="es-CO"/>
        </w:rPr>
      </w:pPr>
      <w:r w:rsidRPr="00E23F2F">
        <w:rPr>
          <w:rFonts w:ascii="Arial" w:hAnsi="Arial" w:cs="Arial"/>
          <w:bCs/>
          <w:sz w:val="24"/>
          <w:szCs w:val="24"/>
          <w:lang w:val="es-CO"/>
        </w:rPr>
        <w:t>Se observa que los códigos asignados reflejan esta organización jerárquica, facilitando la identificación de la procedencia documental y su relación con las unidades responsables de su producción.</w:t>
      </w:r>
    </w:p>
    <w:p w14:paraId="0D5B230F" w14:textId="77777777" w:rsidR="00E23F2F" w:rsidRPr="00E23F2F" w:rsidRDefault="00E23F2F" w:rsidP="00E23F2F">
      <w:pPr>
        <w:jc w:val="both"/>
        <w:rPr>
          <w:rFonts w:ascii="Arial" w:hAnsi="Arial" w:cs="Arial"/>
          <w:bCs/>
          <w:sz w:val="24"/>
          <w:szCs w:val="24"/>
          <w:lang w:val="es-CO"/>
        </w:rPr>
      </w:pPr>
    </w:p>
    <w:p w14:paraId="7C5CBA08" w14:textId="77777777" w:rsidR="00E23F2F" w:rsidRPr="00E23F2F" w:rsidRDefault="00E23F2F" w:rsidP="00E23F2F">
      <w:pPr>
        <w:jc w:val="both"/>
        <w:rPr>
          <w:rFonts w:ascii="Arial" w:hAnsi="Arial" w:cs="Arial"/>
          <w:bCs/>
          <w:sz w:val="24"/>
          <w:szCs w:val="24"/>
          <w:lang w:val="es-CO"/>
        </w:rPr>
      </w:pPr>
      <w:r w:rsidRPr="00E23F2F">
        <w:rPr>
          <w:rFonts w:ascii="Arial" w:hAnsi="Arial" w:cs="Arial"/>
          <w:bCs/>
          <w:sz w:val="24"/>
          <w:szCs w:val="24"/>
          <w:lang w:val="es-CO"/>
        </w:rPr>
        <w:lastRenderedPageBreak/>
        <w:t>No obstante, es importante señalar que la estructura orgánica presenta debilidades previamente identificadas (cargos vs. unidades administrativas), lo cual puede afectar la solidez conceptual de esta jerarquía. A pesar de ello, desde el punto de vista de la codificación, la estructura es comprensible y funcional.</w:t>
      </w:r>
    </w:p>
    <w:p w14:paraId="0C59BEF8" w14:textId="77777777" w:rsidR="00E23F2F" w:rsidRPr="00E23F2F" w:rsidRDefault="00E23F2F" w:rsidP="00E23F2F">
      <w:pPr>
        <w:jc w:val="both"/>
        <w:rPr>
          <w:rFonts w:ascii="Arial" w:hAnsi="Arial" w:cs="Arial"/>
          <w:bCs/>
          <w:sz w:val="24"/>
          <w:szCs w:val="24"/>
          <w:lang w:val="es-CO"/>
        </w:rPr>
      </w:pPr>
    </w:p>
    <w:p w14:paraId="69FFDF85" w14:textId="77777777" w:rsidR="00E23F2F" w:rsidRPr="00E23F2F" w:rsidRDefault="00E23F2F" w:rsidP="00E23F2F">
      <w:pPr>
        <w:jc w:val="both"/>
        <w:rPr>
          <w:rFonts w:ascii="Arial" w:hAnsi="Arial" w:cs="Arial"/>
          <w:b/>
          <w:sz w:val="24"/>
          <w:szCs w:val="24"/>
          <w:lang w:val="es-CO"/>
        </w:rPr>
      </w:pPr>
      <w:r w:rsidRPr="00E23F2F">
        <w:rPr>
          <w:rFonts w:ascii="Arial" w:hAnsi="Arial" w:cs="Arial"/>
          <w:b/>
          <w:sz w:val="24"/>
          <w:szCs w:val="24"/>
          <w:lang w:val="es-CO"/>
        </w:rPr>
        <w:t>Cumple parcialmente</w:t>
      </w:r>
    </w:p>
    <w:p w14:paraId="182EF0B2" w14:textId="77777777" w:rsidR="00E23F2F" w:rsidRPr="00E23F2F" w:rsidRDefault="00E23F2F" w:rsidP="00E23F2F">
      <w:pPr>
        <w:jc w:val="both"/>
        <w:rPr>
          <w:rFonts w:ascii="Arial" w:hAnsi="Arial" w:cs="Arial"/>
          <w:b/>
          <w:sz w:val="24"/>
          <w:szCs w:val="24"/>
        </w:rPr>
      </w:pPr>
    </w:p>
    <w:p w14:paraId="5BD4AE69"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7.3. La codificación de las series y subseries representa un orden lógico.</w:t>
      </w:r>
    </w:p>
    <w:p w14:paraId="0933D282"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La codificación de las series y subseries documentales en las TRD, de la Personería de Granada, sigue un orden lógico que permite identificar la secuencia y agrupación de la producción documental.</w:t>
      </w:r>
    </w:p>
    <w:p w14:paraId="241F68F8" w14:textId="77777777" w:rsidR="00E23F2F" w:rsidRPr="00E23F2F" w:rsidRDefault="00E23F2F" w:rsidP="00E23F2F">
      <w:pPr>
        <w:jc w:val="both"/>
        <w:rPr>
          <w:rFonts w:ascii="Arial" w:hAnsi="Arial" w:cs="Arial"/>
          <w:sz w:val="24"/>
          <w:szCs w:val="24"/>
          <w:lang w:val="es-CO"/>
        </w:rPr>
      </w:pPr>
    </w:p>
    <w:p w14:paraId="640ABE38"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Se evidencia que los códigos asignados no son arbitrarios, sino que responden a una organización sistemática que facilita la clasificación, recuperación y control de los documentos. La numeración mantiene coherencia interna y permite ubicar las series y subseries dentro del conjunto documental de manera estructurada.</w:t>
      </w:r>
    </w:p>
    <w:p w14:paraId="0B30592B" w14:textId="77777777" w:rsidR="00E23F2F" w:rsidRPr="00E23F2F" w:rsidRDefault="00E23F2F" w:rsidP="00E23F2F">
      <w:pPr>
        <w:jc w:val="both"/>
        <w:rPr>
          <w:rFonts w:ascii="Arial" w:hAnsi="Arial" w:cs="Arial"/>
          <w:sz w:val="24"/>
          <w:szCs w:val="24"/>
          <w:lang w:val="es-CO"/>
        </w:rPr>
      </w:pPr>
    </w:p>
    <w:p w14:paraId="58D96C89"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No se identifican inconsistencias, duplicidades o desorden en la codificación que afecten la comprensión del instrumento.</w:t>
      </w:r>
    </w:p>
    <w:p w14:paraId="28259A2A" w14:textId="77777777" w:rsidR="00E23F2F" w:rsidRPr="00E23F2F" w:rsidRDefault="00E23F2F" w:rsidP="00E23F2F">
      <w:pPr>
        <w:jc w:val="both"/>
        <w:rPr>
          <w:rFonts w:ascii="Arial" w:hAnsi="Arial" w:cs="Arial"/>
          <w:sz w:val="24"/>
          <w:szCs w:val="24"/>
          <w:lang w:val="es-CO"/>
        </w:rPr>
      </w:pPr>
    </w:p>
    <w:p w14:paraId="4598014B" w14:textId="77777777" w:rsidR="00E23F2F" w:rsidRPr="00E23F2F" w:rsidRDefault="00E23F2F" w:rsidP="00E23F2F">
      <w:pPr>
        <w:jc w:val="both"/>
        <w:rPr>
          <w:rFonts w:ascii="Arial" w:hAnsi="Arial" w:cs="Arial"/>
          <w:b/>
          <w:bCs/>
          <w:sz w:val="24"/>
          <w:szCs w:val="24"/>
          <w:lang w:val="es-CO"/>
        </w:rPr>
      </w:pPr>
      <w:r w:rsidRPr="00E23F2F">
        <w:rPr>
          <w:rFonts w:ascii="Arial" w:hAnsi="Arial" w:cs="Arial"/>
          <w:b/>
          <w:bCs/>
          <w:sz w:val="24"/>
          <w:szCs w:val="24"/>
          <w:lang w:val="es-CO"/>
        </w:rPr>
        <w:t>Cumple</w:t>
      </w:r>
    </w:p>
    <w:p w14:paraId="73767163" w14:textId="77777777" w:rsidR="00E23F2F" w:rsidRPr="00E23F2F" w:rsidRDefault="00E23F2F" w:rsidP="00E23F2F">
      <w:pPr>
        <w:jc w:val="both"/>
        <w:rPr>
          <w:rFonts w:ascii="Arial" w:hAnsi="Arial" w:cs="Arial"/>
          <w:b/>
          <w:sz w:val="24"/>
          <w:szCs w:val="24"/>
          <w:highlight w:val="yellow"/>
        </w:rPr>
      </w:pPr>
    </w:p>
    <w:p w14:paraId="713E0404"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 TIEMPOS DE RETENCIÓN</w:t>
      </w:r>
    </w:p>
    <w:p w14:paraId="732CFBBF"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1FC2B69D"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8.1. Los tiempos de retención asignados concuerdan con los criterios de valoración primaria establecidos en la Memoria descriptiva.</w:t>
      </w:r>
    </w:p>
    <w:p w14:paraId="0BE471FD"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En la memoria descriptiva, la Personería de Granada, establece criterios de valoración primaria orientados a la utilidad administrativa, legal, fiscal y probatoria de los documentos, los cuales sirven de base para definir los tiempos de retención.</w:t>
      </w:r>
    </w:p>
    <w:p w14:paraId="55F5BF4A" w14:textId="77777777" w:rsidR="00E23F2F" w:rsidRPr="00E23F2F" w:rsidRDefault="00E23F2F" w:rsidP="00E23F2F">
      <w:pPr>
        <w:jc w:val="both"/>
        <w:rPr>
          <w:rFonts w:ascii="Arial" w:hAnsi="Arial" w:cs="Arial"/>
          <w:sz w:val="24"/>
          <w:szCs w:val="24"/>
          <w:lang w:val="es-CO"/>
        </w:rPr>
      </w:pPr>
    </w:p>
    <w:p w14:paraId="4FB8658E"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Al contrastar estos criterios con los tiempos asignados en las TRD, se evidencia coherencia general, en la medida en que los documentos se conservan durante periodos que permiten atender necesidades institucionales, requerimientos legales y consultas administrativas.</w:t>
      </w:r>
    </w:p>
    <w:p w14:paraId="701CD319" w14:textId="77777777" w:rsidR="00E23F2F" w:rsidRPr="00E23F2F" w:rsidRDefault="00E23F2F" w:rsidP="00E23F2F">
      <w:pPr>
        <w:jc w:val="both"/>
        <w:rPr>
          <w:rFonts w:ascii="Arial" w:hAnsi="Arial" w:cs="Arial"/>
          <w:sz w:val="24"/>
          <w:szCs w:val="24"/>
          <w:lang w:val="es-CO"/>
        </w:rPr>
      </w:pPr>
    </w:p>
    <w:p w14:paraId="1CDB501C"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No obstante, no se realiza un cruce explícito serie por serie entre criterio y tiempo de retención, por lo cual la evaluación se fundamenta en la coherencia general del instrumento.</w:t>
      </w:r>
    </w:p>
    <w:p w14:paraId="249CF68C" w14:textId="77777777" w:rsidR="00E23F2F" w:rsidRPr="00E23F2F" w:rsidRDefault="00E23F2F" w:rsidP="00E23F2F">
      <w:pPr>
        <w:jc w:val="both"/>
        <w:rPr>
          <w:rFonts w:ascii="Arial" w:hAnsi="Arial" w:cs="Arial"/>
          <w:sz w:val="24"/>
          <w:szCs w:val="24"/>
          <w:lang w:val="es-CO"/>
        </w:rPr>
      </w:pPr>
    </w:p>
    <w:p w14:paraId="34AB316D" w14:textId="77777777" w:rsidR="00E23F2F" w:rsidRPr="00E23F2F" w:rsidRDefault="00E23F2F" w:rsidP="00E23F2F">
      <w:pPr>
        <w:jc w:val="both"/>
        <w:rPr>
          <w:rFonts w:ascii="Arial" w:hAnsi="Arial" w:cs="Arial"/>
          <w:b/>
          <w:bCs/>
          <w:sz w:val="24"/>
          <w:szCs w:val="24"/>
          <w:lang w:val="es-CO"/>
        </w:rPr>
      </w:pPr>
      <w:r w:rsidRPr="00E23F2F">
        <w:rPr>
          <w:rFonts w:ascii="Arial" w:hAnsi="Arial" w:cs="Arial"/>
          <w:b/>
          <w:bCs/>
          <w:sz w:val="24"/>
          <w:szCs w:val="24"/>
          <w:lang w:val="es-CO"/>
        </w:rPr>
        <w:t>Cumple</w:t>
      </w:r>
    </w:p>
    <w:p w14:paraId="2693F0E6" w14:textId="77777777" w:rsidR="00E23F2F" w:rsidRPr="00E23F2F" w:rsidRDefault="00E23F2F" w:rsidP="00E23F2F">
      <w:pPr>
        <w:jc w:val="both"/>
        <w:rPr>
          <w:rFonts w:ascii="Arial" w:hAnsi="Arial" w:cs="Arial"/>
          <w:b/>
          <w:sz w:val="24"/>
          <w:szCs w:val="24"/>
          <w:highlight w:val="yellow"/>
        </w:rPr>
      </w:pPr>
    </w:p>
    <w:p w14:paraId="148D7A47"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8.2. Se asignan tiempos de retención a la totalidad de las series y subseries documentales registradas en las TRD.</w:t>
      </w:r>
    </w:p>
    <w:p w14:paraId="1298BDA7"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acuerdo con la verificación realizada, todas las series y subseries documentales registradas en las TRD, de la Personería de Granada, cuentan con tiempos de retención definidos.</w:t>
      </w:r>
    </w:p>
    <w:p w14:paraId="08B06A9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evidencia completitud en la estructuración del instrumento archivístico y cumplimiento del requisito normativo.</w:t>
      </w:r>
    </w:p>
    <w:p w14:paraId="72F4E74F"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b/>
          <w:bCs/>
          <w:color w:val="000000"/>
          <w:sz w:val="24"/>
          <w:szCs w:val="24"/>
        </w:rPr>
        <w:t>Cumple</w:t>
      </w:r>
      <w:r w:rsidRPr="00E23F2F">
        <w:rPr>
          <w:rFonts w:ascii="Arial" w:hAnsi="Arial" w:cs="Arial"/>
          <w:color w:val="000000"/>
          <w:sz w:val="24"/>
          <w:szCs w:val="24"/>
        </w:rPr>
        <w:t>.</w:t>
      </w:r>
    </w:p>
    <w:p w14:paraId="385AA91A"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8.3. Los tiempos de retención asignados a las series y subseries documentales contemplan los términos de reserva legal, caducidad y prescripción de las acciones legales que recaen sobre los documentos, así como los tiempos mínimos de conservación que se encuentran en normas vigentes.</w:t>
      </w:r>
    </w:p>
    <w:p w14:paraId="09161766"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Por ejemplo, en la revisión de la serie “Nómina”, la Personería de Granada establece tiempos de retención de dos (2) años en archivo de gestión y noventa y ocho (98) años en archivo central, contados a partir del cierre de la vigencia. Asimismo, se indica la aplicación de procesos de selección y eliminación conforme al Acuerdo 001 de 2024 del AGN.</w:t>
      </w:r>
    </w:p>
    <w:p w14:paraId="2F8C6C70" w14:textId="77777777" w:rsidR="00E23F2F" w:rsidRPr="00E23F2F" w:rsidRDefault="00E23F2F" w:rsidP="00E23F2F">
      <w:pPr>
        <w:jc w:val="both"/>
        <w:rPr>
          <w:rFonts w:ascii="Arial" w:hAnsi="Arial" w:cs="Arial"/>
          <w:sz w:val="24"/>
          <w:szCs w:val="24"/>
          <w:lang w:val="es-CO"/>
        </w:rPr>
      </w:pPr>
    </w:p>
    <w:p w14:paraId="3928C9FF"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No obstante, en la justificación del procedimiento no se evidencian referencias explícitas a normas relacionadas con términos de prescripción, caducidad de acciones legales o reserva legal específica, que sustenten de manera directa los tiempos de retención asignados a esta subserie.</w:t>
      </w:r>
    </w:p>
    <w:p w14:paraId="6CDA1626" w14:textId="77777777" w:rsidR="00E23F2F" w:rsidRPr="00E23F2F" w:rsidRDefault="00E23F2F" w:rsidP="00E23F2F">
      <w:pPr>
        <w:jc w:val="both"/>
        <w:rPr>
          <w:rFonts w:ascii="Arial" w:hAnsi="Arial" w:cs="Arial"/>
          <w:sz w:val="24"/>
          <w:szCs w:val="24"/>
          <w:lang w:val="es-CO"/>
        </w:rPr>
      </w:pPr>
    </w:p>
    <w:p w14:paraId="059099D5"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Si bien los tiempos definidos son amplios y permiten inferir una intención de conservación suficiente frente a posibles requerimientos legales y administrativos, la ausencia de una relación explícita con disposiciones normativas específicas limita el cumplimiento pleno de este criterio.</w:t>
      </w:r>
    </w:p>
    <w:p w14:paraId="176A34C2" w14:textId="77777777" w:rsidR="00E23F2F" w:rsidRPr="00E23F2F" w:rsidRDefault="00E23F2F" w:rsidP="00E23F2F">
      <w:pPr>
        <w:jc w:val="both"/>
        <w:rPr>
          <w:rFonts w:ascii="Arial" w:hAnsi="Arial" w:cs="Arial"/>
          <w:sz w:val="24"/>
          <w:szCs w:val="24"/>
          <w:lang w:val="es-CO"/>
        </w:rPr>
      </w:pPr>
    </w:p>
    <w:p w14:paraId="6076A8AD" w14:textId="77777777" w:rsidR="00E23F2F" w:rsidRPr="00E23F2F" w:rsidRDefault="00E23F2F" w:rsidP="00E23F2F">
      <w:pPr>
        <w:jc w:val="both"/>
        <w:rPr>
          <w:rFonts w:ascii="Arial" w:hAnsi="Arial" w:cs="Arial"/>
          <w:b/>
          <w:bCs/>
          <w:sz w:val="24"/>
          <w:szCs w:val="24"/>
          <w:lang w:val="es-CO"/>
        </w:rPr>
      </w:pPr>
      <w:r w:rsidRPr="00E23F2F">
        <w:rPr>
          <w:rFonts w:ascii="Arial" w:hAnsi="Arial" w:cs="Arial"/>
          <w:b/>
          <w:bCs/>
          <w:sz w:val="24"/>
          <w:szCs w:val="24"/>
          <w:lang w:val="es-CO"/>
        </w:rPr>
        <w:t>Cumple parcialmente.</w:t>
      </w:r>
    </w:p>
    <w:p w14:paraId="4331E983" w14:textId="77777777" w:rsidR="00E23F2F" w:rsidRPr="00E23F2F" w:rsidRDefault="00E23F2F" w:rsidP="00E23F2F">
      <w:pPr>
        <w:jc w:val="both"/>
        <w:rPr>
          <w:rFonts w:ascii="Arial" w:hAnsi="Arial" w:cs="Arial"/>
          <w:b/>
          <w:sz w:val="24"/>
          <w:szCs w:val="24"/>
          <w:highlight w:val="yellow"/>
        </w:rPr>
      </w:pPr>
    </w:p>
    <w:p w14:paraId="6CD8194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8.4. En la casilla de procedimiento de las TRD se referencian las normas vigentes que contribuyeron a establecer los tiempos de retención asignados a series y subseries.</w:t>
      </w:r>
    </w:p>
    <w:p w14:paraId="394FD9E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casilla de procedimiento de la serie analizada, la Personería de Granada hace referencia al Acuerdo 001 de 2024 del Archivo General de la Nación, particularmente en lo relacionado con el proceso de eliminación documental.</w:t>
      </w:r>
    </w:p>
    <w:p w14:paraId="4767EDB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Sin embargo, no se evidencian de manera integral otras normas específicas que sustenten la definición de los tiempos de retención documental, tales como disposiciones legales asociadas a la naturaleza de la serie (laboral, fiscal, disciplinaria, etc.).</w:t>
      </w:r>
    </w:p>
    <w:p w14:paraId="7916EA5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existe una referencia normativa, esta no es suficiente ni específica para justificar de manera completa los tiempos de retención asignados.</w:t>
      </w:r>
    </w:p>
    <w:p w14:paraId="7F29885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Cumple parcialmente. </w:t>
      </w:r>
    </w:p>
    <w:p w14:paraId="77603F01"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8.5. En los casos en que no exista norma, los tiempos de retención son suficientes para responder a solicitudes de autoridades administrativas y judiciales, así como a los usuarios o clientes, trabajadores y ex trabajadores de la entidad.</w:t>
      </w:r>
    </w:p>
    <w:p w14:paraId="425DFBA1"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aquellos casos en los que no se evidencia la referencia explícita a una norma que determine los tiempos de retención documental, la Personería de Granada, establece periodos de conservación que resultan amplios y acordes con la naturaleza de las series y subseries documentales.</w:t>
      </w:r>
    </w:p>
    <w:p w14:paraId="2A8B297B"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Los tiempos asignados permiten atender requerimientos de autoridades administrativas y judiciales, así como solicitudes de usuarios, servidores públicos y ex servidores, garantizando la disponibilidad de la información durante lapsos razonables. Asimismo, se observa que la entidad adopta criterios de valoración que consideran la importancia administrativa, legal y funcional de los documentos.</w:t>
      </w:r>
    </w:p>
    <w:p w14:paraId="37C30CEE"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No obstante, la ausencia de una justificación normativa específica en todos los casos limita la trazabilidad técnica de estos tiempos, lo cual impide establecer con total certeza que estos responden de manera sistemática a criterios estandarizados.</w:t>
      </w:r>
    </w:p>
    <w:p w14:paraId="50D3D79C"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consecuencia, aunque los tiempos de retención son funcionalmente suficientes, presentan debilidades en su sustentación formal.</w:t>
      </w:r>
    </w:p>
    <w:p w14:paraId="6A034AA5" w14:textId="77777777" w:rsidR="00E23F2F" w:rsidRPr="00E23F2F" w:rsidRDefault="00E23F2F" w:rsidP="00E23F2F">
      <w:pPr>
        <w:spacing w:after="160"/>
        <w:jc w:val="both"/>
        <w:rPr>
          <w:rFonts w:ascii="Arial" w:hAnsi="Arial" w:cs="Arial"/>
          <w:b/>
          <w:color w:val="000000"/>
          <w:sz w:val="24"/>
          <w:szCs w:val="24"/>
          <w:lang w:val="es-CO"/>
        </w:rPr>
      </w:pPr>
      <w:r w:rsidRPr="00E23F2F">
        <w:rPr>
          <w:rFonts w:ascii="Arial" w:hAnsi="Arial" w:cs="Arial"/>
          <w:b/>
          <w:color w:val="000000"/>
          <w:sz w:val="24"/>
          <w:szCs w:val="24"/>
          <w:lang w:val="es-CO"/>
        </w:rPr>
        <w:t>Cumple parcialmente</w:t>
      </w:r>
    </w:p>
    <w:p w14:paraId="1B538704"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8.6. Los tiempos de retención se registran en años.</w:t>
      </w:r>
    </w:p>
    <w:p w14:paraId="6E6F6D9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Las Tablas de Retención Documental de la Personería de Granada, registran los tiempos de retención utilizando como unidad de medida los años, tanto para el archivo de gestión como para el archivo central.</w:t>
      </w:r>
    </w:p>
    <w:p w14:paraId="43CBD1C2"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Esta forma de registro se ajusta a los lineamientos establecidos por la normativa archivística vigente, permitiendo una interpretación clara, uniforme y estandarizada de los periodos de conservación documental.</w:t>
      </w:r>
    </w:p>
    <w:p w14:paraId="7D3AD737"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color w:val="000000"/>
          <w:sz w:val="24"/>
          <w:szCs w:val="24"/>
        </w:rPr>
        <w:t xml:space="preserve"> </w:t>
      </w:r>
      <w:r w:rsidRPr="00E23F2F">
        <w:rPr>
          <w:rFonts w:ascii="Arial" w:hAnsi="Arial" w:cs="Arial"/>
          <w:b/>
          <w:bCs/>
          <w:color w:val="000000"/>
          <w:sz w:val="24"/>
          <w:szCs w:val="24"/>
        </w:rPr>
        <w:t>Cumple</w:t>
      </w:r>
    </w:p>
    <w:p w14:paraId="555F4DB8"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8.7 En la casilla de procedimiento de las TRD se indica a partir de qué hecho (terminación de la vigencia del documento principal) se empiezan a contar los tiempos de retención documental.</w:t>
      </w:r>
    </w:p>
    <w:p w14:paraId="443565A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casilla de procedimiento de la serie “Nómina”, la Personería de Granada establece de manera explícita que los tiempos de retención documental se cuentan a partir del cierre de la vigencia.</w:t>
      </w:r>
    </w:p>
    <w:p w14:paraId="4F8ABC3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Esta indicación permite determinar con claridad el momento a partir del cual inicia el cómputo de los tiempos de conservación, cumpliendo con lo exigido por la normativa archivística.</w:t>
      </w:r>
    </w:p>
    <w:p w14:paraId="18649647"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Cumple</w:t>
      </w:r>
    </w:p>
    <w:p w14:paraId="76F7178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 DISPOSICIÓN FINAL</w:t>
      </w:r>
    </w:p>
    <w:p w14:paraId="004E71C2"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5C6EDF8A"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b/>
          <w:color w:val="000000"/>
          <w:sz w:val="24"/>
          <w:szCs w:val="24"/>
        </w:rPr>
        <w:t>9.1. La disposición final asignada a series y subseries concuerda con los criterios de valoración secundaria establecidos en la memoria descriptiva</w:t>
      </w:r>
      <w:r w:rsidRPr="00E23F2F">
        <w:rPr>
          <w:rFonts w:ascii="Arial" w:hAnsi="Arial" w:cs="Arial"/>
          <w:color w:val="000000"/>
          <w:sz w:val="24"/>
          <w:szCs w:val="24"/>
        </w:rPr>
        <w:t>.</w:t>
      </w:r>
    </w:p>
    <w:p w14:paraId="24829697"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establece en la memoria descriptiva criterios de valoración secundaria relacionados con el valor histórico, investigativo, probatorio y de memoria institucional de los documentos.</w:t>
      </w:r>
    </w:p>
    <w:p w14:paraId="40D7DE7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Al contrastar estos criterios con la disposición final asignada en las TRD (conservación total, selección o eliminación), se evidencia coherencia general, en la medida en que las series con valor histórico o misional son objeto de conservación o selección, mientras que aquellas de carácter operativo o repetitivo son susceptibles de eliminación.</w:t>
      </w:r>
    </w:p>
    <w:p w14:paraId="347E839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disposición final responde a los criterios definidos por la entidad para la valoración secundaria.</w:t>
      </w:r>
    </w:p>
    <w:p w14:paraId="748B74E6"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Cumple</w:t>
      </w:r>
    </w:p>
    <w:p w14:paraId="2510801C"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9.2. Se marca un solo tipo de disposición final (conservación total, selección o eliminación) para series y subseries documentales registradas en TRD.</w:t>
      </w:r>
    </w:p>
    <w:p w14:paraId="050F830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TRD de la Personería de Granada, se observa que cada serie y subserie documental tiene asignado un único tipo de disposición final, ya sea conservación total, selección o eliminación.</w:t>
      </w:r>
    </w:p>
    <w:p w14:paraId="3F22304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se evidencian casos en los cuales una misma agrupación documental tenga múltiples disposiciones finales asignadas de manera simultánea, lo cual garantiza claridad en la gestión documental.</w:t>
      </w:r>
    </w:p>
    <w:p w14:paraId="1DA30F5A"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Cumple. </w:t>
      </w:r>
    </w:p>
    <w:p w14:paraId="1390B754"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9.3. La casilla M (medios de reproducción tecnológica) se marca solo para series y subseries con disposición final conservación total o selección. En caso de que la entidad la marque para series o subseries con disposición final eliminación, indica en el procedimiento que eliminará los dos soportes.</w:t>
      </w:r>
    </w:p>
    <w:p w14:paraId="31D5DDDE"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En la subserie “Consecutivos de Comunicaciones Oficiales Internas”, la Personería de Granada, asigna como disposición final la eliminación y, simultáneamente, marca la casilla correspondiente a medios de reproducción tecnológica (digitalización).</w:t>
      </w:r>
    </w:p>
    <w:p w14:paraId="74AD6B02"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3BEF1201"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En la casilla de procedimiento se indica expresamente que los documentos físicos serán eliminados una vez cumplidos los tiempos de retención, conforme a lo establecido en el Acuerdo 001 de 2024 del Archivo General de la Nación. Asimismo, se justifica la eliminación señalando que la documentación pierde vigencia y que la información se consolida en otros expedientes.</w:t>
      </w:r>
    </w:p>
    <w:p w14:paraId="5D9287F4"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59768271"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No obstante, aunque se menciona la eliminación del soporte físico, no se evidencia de manera explícita que también se eliminará el soporte digital generado, lo cual es un requisito cuando se marca la casilla de medios tecnológicos en series con disposición final de eliminación.</w:t>
      </w:r>
    </w:p>
    <w:p w14:paraId="32770AFC"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1BED2889"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De acuerdo con el Acuerdo 001 de 2024 del AGN, cuando se utilicen medios de reproducción tecnológica en estos casos, debe indicarse claramente que la eliminación aplica a ambos soportes, garantizando coherencia en la disposición final.</w:t>
      </w:r>
    </w:p>
    <w:p w14:paraId="7438D214"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highlight w:val="yellow"/>
          <w:lang w:val="es-CO"/>
        </w:rPr>
      </w:pPr>
    </w:p>
    <w:p w14:paraId="42E03FF4"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En consecuencia, la entidad presenta una inconsistencia entre el uso de la casilla M y la descripción del procedimiento.</w:t>
      </w:r>
    </w:p>
    <w:p w14:paraId="300242B1" w14:textId="77777777" w:rsidR="00E23F2F" w:rsidRPr="00E23F2F" w:rsidRDefault="00E23F2F" w:rsidP="00E23F2F">
      <w:pPr>
        <w:pBdr>
          <w:top w:val="nil"/>
          <w:left w:val="nil"/>
          <w:bottom w:val="nil"/>
          <w:right w:val="nil"/>
          <w:between w:val="nil"/>
        </w:pBdr>
        <w:jc w:val="both"/>
        <w:rPr>
          <w:rFonts w:ascii="Arial" w:hAnsi="Arial" w:cs="Arial"/>
          <w:b/>
          <w:bCs/>
          <w:color w:val="000000"/>
          <w:sz w:val="24"/>
          <w:szCs w:val="24"/>
          <w:lang w:val="es-CO"/>
        </w:rPr>
      </w:pPr>
    </w:p>
    <w:p w14:paraId="61C54BFA" w14:textId="77777777" w:rsidR="00E23F2F" w:rsidRPr="00E23F2F" w:rsidRDefault="00E23F2F" w:rsidP="00E23F2F">
      <w:pPr>
        <w:pBdr>
          <w:top w:val="nil"/>
          <w:left w:val="nil"/>
          <w:bottom w:val="nil"/>
          <w:right w:val="nil"/>
          <w:between w:val="nil"/>
        </w:pBdr>
        <w:jc w:val="both"/>
        <w:rPr>
          <w:rFonts w:ascii="Arial" w:hAnsi="Arial" w:cs="Arial"/>
          <w:b/>
          <w:bCs/>
          <w:color w:val="000000"/>
          <w:sz w:val="24"/>
          <w:szCs w:val="24"/>
          <w:lang w:val="es-CO"/>
        </w:rPr>
      </w:pPr>
      <w:r w:rsidRPr="00E23F2F">
        <w:rPr>
          <w:rFonts w:ascii="Arial" w:hAnsi="Arial" w:cs="Arial"/>
          <w:b/>
          <w:bCs/>
          <w:color w:val="000000"/>
          <w:sz w:val="24"/>
          <w:szCs w:val="24"/>
          <w:lang w:val="es-CO"/>
        </w:rPr>
        <w:t>No cumple</w:t>
      </w:r>
    </w:p>
    <w:p w14:paraId="6900A131"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5834B9CE" w14:textId="77777777" w:rsidR="00E23F2F" w:rsidRPr="00E23F2F" w:rsidRDefault="00E23F2F" w:rsidP="00E23F2F">
      <w:pPr>
        <w:pBdr>
          <w:top w:val="nil"/>
          <w:left w:val="nil"/>
          <w:bottom w:val="nil"/>
          <w:right w:val="nil"/>
          <w:between w:val="nil"/>
        </w:pBdr>
        <w:jc w:val="both"/>
        <w:rPr>
          <w:rFonts w:ascii="Arial" w:hAnsi="Arial" w:cs="Arial"/>
          <w:b/>
          <w:color w:val="000000"/>
          <w:sz w:val="24"/>
          <w:szCs w:val="24"/>
        </w:rPr>
      </w:pPr>
      <w:r w:rsidRPr="00E23F2F">
        <w:rPr>
          <w:rFonts w:ascii="Arial" w:hAnsi="Arial" w:cs="Arial"/>
          <w:b/>
          <w:sz w:val="24"/>
          <w:szCs w:val="24"/>
        </w:rPr>
        <w:t>9.4.</w:t>
      </w:r>
      <w:r w:rsidRPr="00E23F2F">
        <w:rPr>
          <w:rFonts w:ascii="Arial" w:hAnsi="Arial" w:cs="Arial"/>
          <w:color w:val="000000"/>
          <w:sz w:val="24"/>
          <w:szCs w:val="24"/>
        </w:rPr>
        <w:t xml:space="preserve"> </w:t>
      </w:r>
      <w:r w:rsidRPr="00E23F2F">
        <w:rPr>
          <w:rFonts w:ascii="Arial" w:hAnsi="Arial" w:cs="Arial"/>
          <w:b/>
          <w:color w:val="000000"/>
          <w:sz w:val="24"/>
          <w:szCs w:val="24"/>
        </w:rPr>
        <w:t xml:space="preserve">La disposición final de series y subseries se establece en concordancia con el valor informativo que puedan tener los documentos para la reconstrucción de la historia de la entidad, la región o la nación, para la cultura o la ciencia. </w:t>
      </w:r>
    </w:p>
    <w:p w14:paraId="79C8E7FA" w14:textId="77777777" w:rsidR="00E23F2F" w:rsidRPr="00E23F2F" w:rsidRDefault="00E23F2F" w:rsidP="00E23F2F">
      <w:pPr>
        <w:pBdr>
          <w:top w:val="nil"/>
          <w:left w:val="nil"/>
          <w:bottom w:val="nil"/>
          <w:right w:val="nil"/>
          <w:between w:val="nil"/>
        </w:pBdr>
        <w:jc w:val="both"/>
        <w:rPr>
          <w:rFonts w:ascii="Arial" w:hAnsi="Arial" w:cs="Arial"/>
          <w:b/>
          <w:color w:val="000000"/>
          <w:sz w:val="24"/>
          <w:szCs w:val="24"/>
        </w:rPr>
      </w:pPr>
    </w:p>
    <w:p w14:paraId="2B78615A"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r w:rsidRPr="00E23F2F">
        <w:rPr>
          <w:rFonts w:ascii="Arial" w:hAnsi="Arial" w:cs="Arial"/>
          <w:sz w:val="24"/>
          <w:szCs w:val="24"/>
          <w:lang w:val="es-CO"/>
        </w:rPr>
        <w:t>La Personería de Granada asigna la disposición final teniendo en cuenta el valor informativo de los documentos, especialmente en aquellas series relacionadas con funciones misionales, defensa de derechos, control y actuaciones administrativas relevantes.</w:t>
      </w:r>
    </w:p>
    <w:p w14:paraId="443B732A"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p>
    <w:p w14:paraId="37BDF850"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r w:rsidRPr="00E23F2F">
        <w:rPr>
          <w:rFonts w:ascii="Arial" w:hAnsi="Arial" w:cs="Arial"/>
          <w:sz w:val="24"/>
          <w:szCs w:val="24"/>
          <w:lang w:val="es-CO"/>
        </w:rPr>
        <w:t>Se evidencia que las series con potencial valor histórico o institucional son objeto de conservación total o selección, lo cual permite su utilización futura para la reconstrucción de la memoria institucional y el análisis de la gestión pública.</w:t>
      </w:r>
    </w:p>
    <w:p w14:paraId="0DEBD7AD"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p>
    <w:p w14:paraId="2BBDCDAF" w14:textId="77777777" w:rsidR="00E23F2F" w:rsidRPr="00E23F2F" w:rsidRDefault="00E23F2F" w:rsidP="00E23F2F">
      <w:pPr>
        <w:pBdr>
          <w:top w:val="nil"/>
          <w:left w:val="nil"/>
          <w:bottom w:val="nil"/>
          <w:right w:val="nil"/>
          <w:between w:val="nil"/>
        </w:pBdr>
        <w:jc w:val="both"/>
        <w:rPr>
          <w:rFonts w:ascii="Arial" w:hAnsi="Arial" w:cs="Arial"/>
          <w:b/>
          <w:bCs/>
          <w:sz w:val="24"/>
          <w:szCs w:val="24"/>
          <w:lang w:val="es-CO"/>
        </w:rPr>
      </w:pPr>
      <w:r w:rsidRPr="00E23F2F">
        <w:rPr>
          <w:rFonts w:ascii="Arial" w:hAnsi="Arial" w:cs="Arial"/>
          <w:b/>
          <w:bCs/>
          <w:sz w:val="24"/>
          <w:szCs w:val="24"/>
          <w:lang w:val="es-CO"/>
        </w:rPr>
        <w:t>Cumple</w:t>
      </w:r>
    </w:p>
    <w:p w14:paraId="2B887124" w14:textId="77777777" w:rsidR="00E23F2F" w:rsidRPr="00E23F2F" w:rsidRDefault="00E23F2F" w:rsidP="00E23F2F">
      <w:pPr>
        <w:pBdr>
          <w:top w:val="nil"/>
          <w:left w:val="nil"/>
          <w:bottom w:val="nil"/>
          <w:right w:val="nil"/>
          <w:between w:val="nil"/>
        </w:pBdr>
        <w:jc w:val="both"/>
        <w:rPr>
          <w:rFonts w:ascii="Arial" w:hAnsi="Arial" w:cs="Arial"/>
          <w:sz w:val="24"/>
          <w:szCs w:val="24"/>
        </w:rPr>
      </w:pPr>
    </w:p>
    <w:p w14:paraId="2C693F41"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9.5. En la casilla de procedimiento de cada una de las series y subseries se justifica la disposición final a partir del valor informativo de los documentos.</w:t>
      </w:r>
    </w:p>
    <w:p w14:paraId="5CAC7DE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Tablas de Retención Documental, se evidencia que la Personería de Granada, incluye en la casilla de procedimiento la justificación de la disposición final asignada a las series y subseries documentales, sustentándola en criterios de valoración documental.</w:t>
      </w:r>
    </w:p>
    <w:p w14:paraId="6066BFDD"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Para las series con disposición final de conservación total o selección, la entidad indica la presencia de valores secundarios, señalando su importancia para la memoria institucional, la investigación, la cultura o la reconstrucción histórica. De igual manera, en las series con disposición final eliminación, se argumenta la pérdida de vigencia administrativa, la ausencia de valores secundarios y, en algunos casos, la consolidación de la información en otros expedientes o series documentales.</w:t>
      </w:r>
    </w:p>
    <w:p w14:paraId="60DB5CE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se observa que dichas justificaciones, aunque presentes, son en varios casos de carácter general y estandarizado, sin desarrollar de manera específica el valor informativo particular de cada serie o subserie documental, lo cual limita la profundidad del análisis archivístico requerido por la norma.</w:t>
      </w:r>
    </w:p>
    <w:p w14:paraId="5A88A93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si bien la entidad cumple con incluir la justificación de la disposición final en los procedimientos, esta no siempre se encuentra suficientemente individualizada ni detallada para cada agrupación documental.</w:t>
      </w:r>
    </w:p>
    <w:p w14:paraId="47CFA660"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parcialmente </w:t>
      </w:r>
    </w:p>
    <w:p w14:paraId="042E8818"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9.6. En la casilla de procedimiento de las series y subseries cuya disposición final sea conservación o selección, queda claro que se conservarán en su soporte original. (punto no crítico)</w:t>
      </w:r>
    </w:p>
    <w:p w14:paraId="0827C4A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los procedimientos asociados a las series y subseries con disposición final de conservación total o selección, se evidencia que la Personería de Granada indica la conservación de los documentos en su soporte original, incluso cuando se contempla la digitalización como medio de consulta.</w:t>
      </w:r>
    </w:p>
    <w:p w14:paraId="78B11762"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garantiza la preservación de la autenticidad e integridad de los documentos, conforme a los principios archivísticos.</w:t>
      </w:r>
    </w:p>
    <w:p w14:paraId="3CDAF214"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w:t>
      </w:r>
    </w:p>
    <w:p w14:paraId="3685BD43"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9.7. En la casilla de procedimiento de las series y subseries cuya disposición final es eliminación y se justifica a partir de la compilación o representación en otra serie se indica en cual.</w:t>
      </w:r>
    </w:p>
    <w:p w14:paraId="43BA7E9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En la revisión de las Tablas de Retención Documental, se evidencia que la Personería de Granada, justifica la disposición final de eliminación indicando que la documentación pierde vigencia administrativa y que la información se consolida en otros expedientes o en las áreas responsables de los trámites.</w:t>
      </w:r>
    </w:p>
    <w:p w14:paraId="64966899"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en los procedimientos no se identifica de manera expresa la serie o subserie específica en la cual se compila o representa la información objeto de eliminación, lo cual constituye un requisito establecido en el Acuerdo 001 de 2024 cuando la eliminación se fundamenta en la duplicidad o consolidación documental.</w:t>
      </w:r>
    </w:p>
    <w:p w14:paraId="7937B34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justificación presentada carece de precisión frente a la trazabilidad de la información dentro del sistema de gestión documental.</w:t>
      </w:r>
    </w:p>
    <w:p w14:paraId="68E6D5F5"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No cumple</w:t>
      </w:r>
    </w:p>
    <w:p w14:paraId="7AAB065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9.8. En la casilla de procedimiento de las series y subseries con disposición final selección se indica el tamaño de la muestra a seleccionar (en porcentaje o número) el método de selección (aleatorio o sistemático). Si el método es sistemático se indican los criterios cualitativos que deben reunir las unidades documentales a seleccionar.</w:t>
      </w:r>
    </w:p>
    <w:p w14:paraId="0E2059B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establece, tanto en la memoria descriptiva como en los procedimientos de las TRD, los criterios para la aplicación de la disposición final de selección.</w:t>
      </w:r>
    </w:p>
    <w:p w14:paraId="0A1E3D83"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este sentido, se identifican claramente los porcentajes de muestra a conservar, definidos en función del volumen documental, así como el método de selección mediante muestreo, el cual combina criterios cuantitativos y cualitativos. Igualmente, se incorporan criterios cualitativos que orientan la selección de documentos, tales como la relevancia de la información, su relación con la misión institucional y las características propias de las series documentales.</w:t>
      </w:r>
    </w:p>
    <w:p w14:paraId="452A8C60"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igual forma, en los procedimientos se hace referencia a estos criterios y al cuadro de muestras definido en la memoria descriptiva, evidenciando coherencia entre ambos instrumentos.</w:t>
      </w:r>
    </w:p>
    <w:p w14:paraId="0C582B2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Cumple</w:t>
      </w:r>
    </w:p>
    <w:p w14:paraId="2D7C1657"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9.9. En la casilla de procedimiento de las series y subseries que tienen por disposición final eliminación, se indica en qué momento se hará, el área responsable de adelantarla y se brindan indicaciones de cómo se realizará la actividad.</w:t>
      </w:r>
    </w:p>
    <w:p w14:paraId="0C71D0A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los procedimientos de las series y subseries con disposición final eliminación, la Personería de Granada establece el momento en el cual debe llevarse a cabo la eliminación, indicando que esta se realiza una vez cumplidos los tiempos de retención documental, contados a partir del cierre de la vigencia.</w:t>
      </w:r>
    </w:p>
    <w:p w14:paraId="055EC10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Asimismo, se describen las actividades asociadas al proceso de eliminación, tales como la elaboración de inventarios documentales y la suscripción de actas de eliminación, en concordancia con lo dispuesto en el Acuerdo 001 de 2024 del Archivo General de la Nación.</w:t>
      </w:r>
    </w:p>
    <w:p w14:paraId="1F2111E0"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relación con la responsabilidad del proceso, se hace referencia al Personero como responsable de la gestión documental y al Comité Institucional de Gestión y Desempeño como instancia de aprobación. No obstante, no se identifica de manera uniforme y explícita el área operativa encargada de ejecutar la eliminación documental (por ejemplo, el archivo central o la dependencia responsable), lo cual limita la claridad en la asignación de responsabilidades.</w:t>
      </w:r>
    </w:p>
    <w:p w14:paraId="52B78568"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Cumple parcialmente</w:t>
      </w:r>
    </w:p>
    <w:p w14:paraId="6585C81C"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9.10. En la casilla de procedimiento de las series y subseries que van a ser reproducidas por medios tecnológicos se indica en qué momento se hará la reproducción, el área responsable de realizarla y se brindan indicaciones de cómo se realizará la actividad.</w:t>
      </w:r>
    </w:p>
    <w:p w14:paraId="585AD880"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Tablas de Retención Documental y la memoria descriptiva, se evidencia que la Personería de Granada, establece lineamientos generales para la reproducción de documentos por medios tecnológicos, particularmente mediante procesos de digitalización en formato PDF/A, orientados a facilitar la consulta y preservar la información.</w:t>
      </w:r>
    </w:p>
    <w:p w14:paraId="303089C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los procedimientos se indica que la digitalización se realizará una vez cumplidos los tiempos de retención en el archivo central, y se menciona como responsable el área de archivo o quien haga sus veces. Asimismo, se describen aspectos generales del proceso, tales como la finalidad de la reproducción y la conservación de los documentos en repositorios institucionales.</w:t>
      </w:r>
    </w:p>
    <w:p w14:paraId="51228AF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la información consignada en los procedimientos presenta un nivel de generalidad, sin detallar de manera específica y diferenciada, para cada serie o subserie, los momentos exactos de reproducción, los responsables operativos concretos y las condiciones técnicas bajo las cuales se llevará a cabo la actividad.</w:t>
      </w:r>
    </w:p>
    <w:p w14:paraId="353AAA6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la entidad contempla la reproducción por medios tecnológicos y define lineamientos básicos, la información no es completamente precisa ni individualizada en todos los casos.</w:t>
      </w:r>
    </w:p>
    <w:p w14:paraId="26A82EDA"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parcialmente </w:t>
      </w:r>
    </w:p>
    <w:p w14:paraId="1D1A1739"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9.11. Existe coherencia entre la disposición final asignada a series y subseries documentales y la información registrada en los procedimientos.</w:t>
      </w:r>
    </w:p>
    <w:p w14:paraId="0CF997C3"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En la revisión integral de las Tablas de Retención Documental, se evidencia que, en términos generales, existe coherencia entre la disposición final asignada a las series </w:t>
      </w:r>
      <w:r w:rsidRPr="00E23F2F">
        <w:rPr>
          <w:rFonts w:ascii="Arial" w:hAnsi="Arial" w:cs="Arial"/>
          <w:color w:val="000000"/>
          <w:sz w:val="24"/>
          <w:szCs w:val="24"/>
          <w:lang w:val="es-CO"/>
        </w:rPr>
        <w:lastRenderedPageBreak/>
        <w:t>y subseries documentales y la información consignada en la casilla de procedimiento.</w:t>
      </w:r>
    </w:p>
    <w:p w14:paraId="5E3FD43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Las series con disposición final de conservación total o selección incluyen procedimientos orientados a la preservación de los documentos, destacando su valor secundario y su importancia para la memoria institucional. De igual forma, las series con disposición final eliminación contienen procedimientos que justifican la pérdida de valores administrativos y la ausencia de valor histórico, así como las actividades necesarias para su eliminación conforme a la normativa vigente.</w:t>
      </w:r>
    </w:p>
    <w:p w14:paraId="51BCA9D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se identifican casos puntuales —como el uso de medios de reproducción tecnológica en series con disposición final eliminación sin la debida aclaración sobre la eliminación de ambos soportes— que generan inconsistencias parciales entre la disposición final y el procedimiento.</w:t>
      </w:r>
    </w:p>
    <w:p w14:paraId="4DCCFDA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si bien existe una coherencia general en el instrumento, se presentan algunas inconsistencias que afectan su uniformidad.</w:t>
      </w:r>
    </w:p>
    <w:p w14:paraId="4C2C4B0F"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parcialmente </w:t>
      </w:r>
    </w:p>
    <w:p w14:paraId="5E6C51A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10. Presenta anexos del Sistema Integrado de Gestión, como los son procedimientos de la entidad.</w:t>
      </w:r>
    </w:p>
    <w:p w14:paraId="7C86A02E" w14:textId="77777777" w:rsidR="00E23F2F" w:rsidRPr="00E23F2F" w:rsidRDefault="00E23F2F" w:rsidP="00E23F2F">
      <w:pPr>
        <w:spacing w:after="160"/>
        <w:jc w:val="both"/>
        <w:rPr>
          <w:rFonts w:ascii="Arial" w:hAnsi="Arial" w:cs="Arial"/>
          <w:bCs/>
          <w:color w:val="000000"/>
          <w:sz w:val="24"/>
          <w:szCs w:val="24"/>
          <w:lang w:val="es-CO"/>
        </w:rPr>
      </w:pPr>
      <w:bookmarkStart w:id="0" w:name="_Hlk198100528"/>
      <w:r w:rsidRPr="00E23F2F">
        <w:rPr>
          <w:rFonts w:ascii="Arial" w:hAnsi="Arial" w:cs="Arial"/>
          <w:bCs/>
          <w:color w:val="000000"/>
          <w:sz w:val="24"/>
          <w:szCs w:val="24"/>
          <w:lang w:val="es-CO"/>
        </w:rPr>
        <w:t>En la revisión de los documentos aportados por la entidad, se evidencia la inclusión de algunos anexos relacionados con el Sistema Integrado de Gestión, tales como el mapa de procesos adoptado mediante acto administrativo, así como instrumentos generales de direccionamiento estratégico.</w:t>
      </w:r>
    </w:p>
    <w:p w14:paraId="53BBFD58"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No obstante, la información presentada es de carácter general y no permite identificar de manera clara y detallada los procedimientos institucionales asociados a cada uno de los procesos, ni su articulación con la gestión documental. En particular, no se evidencian procedimientos formalmente documentados que incluyan actividades específicas, responsables, alcance y control, elementos necesarios para garantizar la adecuada operación del Sistema Integrado de Gestión.</w:t>
      </w:r>
    </w:p>
    <w:p w14:paraId="6DF303E4"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este sentido, aunque la entidad cuenta con documentos que evidencian la estructura del sistema (como el mapa de procesos), resulta necesario que se desarrollen y documenten de manera más específica los procedimientos institucionales, especialmente aquellos relacionados con la producción, gestión y conservación de los documentos.</w:t>
      </w:r>
    </w:p>
    <w:p w14:paraId="1EE92363"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Se recomienda fortalecer la documentación del Sistema Integrado de Gestión mediante la formulación, formalización e implementación de procedimientos claros, detallados y articulados con los instrumentos archivísticos, en cumplimiento de los lineamientos del Modelo Integrado de Planeación y Gestión (MIPG).</w:t>
      </w:r>
    </w:p>
    <w:p w14:paraId="70FF539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 xml:space="preserve">Cumple parcialmente </w:t>
      </w:r>
    </w:p>
    <w:p w14:paraId="0E37DF9E"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11. Respecto a los </w:t>
      </w:r>
      <w:proofErr w:type="gramStart"/>
      <w:r w:rsidRPr="00E23F2F">
        <w:rPr>
          <w:rFonts w:ascii="Arial" w:hAnsi="Arial" w:cs="Arial"/>
          <w:b/>
          <w:color w:val="000000"/>
          <w:sz w:val="24"/>
          <w:szCs w:val="24"/>
        </w:rPr>
        <w:t>DD.HH</w:t>
      </w:r>
      <w:proofErr w:type="gramEnd"/>
      <w:r w:rsidRPr="00E23F2F">
        <w:rPr>
          <w:rFonts w:ascii="Arial" w:hAnsi="Arial" w:cs="Arial"/>
          <w:b/>
          <w:color w:val="000000"/>
          <w:sz w:val="24"/>
          <w:szCs w:val="24"/>
        </w:rPr>
        <w:t xml:space="preserve"> y DIH.</w:t>
      </w:r>
    </w:p>
    <w:p w14:paraId="108A76C2" w14:textId="77777777" w:rsidR="00E23F2F" w:rsidRPr="00E23F2F" w:rsidRDefault="00E23F2F" w:rsidP="00E23F2F">
      <w:pPr>
        <w:spacing w:after="160"/>
        <w:jc w:val="both"/>
        <w:rPr>
          <w:rFonts w:ascii="Arial" w:hAnsi="Arial" w:cs="Arial"/>
          <w:bCs/>
          <w:color w:val="000000"/>
          <w:sz w:val="24"/>
          <w:szCs w:val="24"/>
        </w:rPr>
      </w:pPr>
      <w:r w:rsidRPr="00E23F2F">
        <w:rPr>
          <w:rFonts w:ascii="Arial" w:hAnsi="Arial" w:cs="Arial"/>
          <w:bCs/>
          <w:color w:val="000000"/>
          <w:sz w:val="24"/>
          <w:szCs w:val="24"/>
        </w:rPr>
        <w:t xml:space="preserve">Este ítem evalúa lo relacionado con los Derechos Humanos y el Derecho Internacional Humanitario. </w:t>
      </w:r>
    </w:p>
    <w:p w14:paraId="2AFAB975"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11.1 Proceso de identificación de archivos relativos a </w:t>
      </w:r>
      <w:proofErr w:type="gramStart"/>
      <w:r w:rsidRPr="00E23F2F">
        <w:rPr>
          <w:rFonts w:ascii="Arial" w:hAnsi="Arial" w:cs="Arial"/>
          <w:b/>
          <w:color w:val="000000"/>
          <w:sz w:val="24"/>
          <w:szCs w:val="24"/>
        </w:rPr>
        <w:t>DD.HH</w:t>
      </w:r>
      <w:proofErr w:type="gramEnd"/>
      <w:r w:rsidRPr="00E23F2F">
        <w:rPr>
          <w:rFonts w:ascii="Arial" w:hAnsi="Arial" w:cs="Arial"/>
          <w:b/>
          <w:color w:val="000000"/>
          <w:sz w:val="24"/>
          <w:szCs w:val="24"/>
        </w:rPr>
        <w:t xml:space="preserve"> y DIH. </w:t>
      </w:r>
    </w:p>
    <w:bookmarkEnd w:id="0"/>
    <w:p w14:paraId="6FA99431"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la memoria descriptiva, se evidencia que la entidad reconoce la existencia e importancia de los archivos relacionados con Derechos Humanos (</w:t>
      </w:r>
      <w:proofErr w:type="gramStart"/>
      <w:r w:rsidRPr="00E23F2F">
        <w:rPr>
          <w:rFonts w:ascii="Arial" w:hAnsi="Arial" w:cs="Arial"/>
          <w:bCs/>
          <w:color w:val="000000"/>
          <w:sz w:val="24"/>
          <w:szCs w:val="24"/>
          <w:lang w:val="es-CO"/>
        </w:rPr>
        <w:t>DD.HH</w:t>
      </w:r>
      <w:proofErr w:type="gramEnd"/>
      <w:r w:rsidRPr="00E23F2F">
        <w:rPr>
          <w:rFonts w:ascii="Arial" w:hAnsi="Arial" w:cs="Arial"/>
          <w:bCs/>
          <w:color w:val="000000"/>
          <w:sz w:val="24"/>
          <w:szCs w:val="24"/>
          <w:lang w:val="es-CO"/>
        </w:rPr>
        <w:t>) y Derecho Internacional Humanitario (DIH), incluyendo su definición, alcance, importancia para la memoria histórica y su relación con el contexto del conflicto armado en Colombia.</w:t>
      </w:r>
    </w:p>
    <w:p w14:paraId="57A72212"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Asimismo, se identifican algunas series documentales asociadas a estas temáticas, tales como las Actas de Mesas de Participación de Víctimas, en las cuales se documentan hechos relacionados con afectaciones a derechos fundamentales y situaciones derivadas del conflicto armado.</w:t>
      </w:r>
    </w:p>
    <w:p w14:paraId="41D2F98F"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No obstante, aunque existe un desarrollo conceptual y normativo, no se evidencia de manera clara un proceso metodológico estructurado que permita identificar, clasificar y gestionar de forma sistemática los archivos de </w:t>
      </w:r>
      <w:proofErr w:type="gramStart"/>
      <w:r w:rsidRPr="00E23F2F">
        <w:rPr>
          <w:rFonts w:ascii="Arial" w:hAnsi="Arial" w:cs="Arial"/>
          <w:bCs/>
          <w:color w:val="000000"/>
          <w:sz w:val="24"/>
          <w:szCs w:val="24"/>
          <w:lang w:val="es-CO"/>
        </w:rPr>
        <w:t>DD.HH</w:t>
      </w:r>
      <w:proofErr w:type="gramEnd"/>
      <w:r w:rsidRPr="00E23F2F">
        <w:rPr>
          <w:rFonts w:ascii="Arial" w:hAnsi="Arial" w:cs="Arial"/>
          <w:bCs/>
          <w:color w:val="000000"/>
          <w:sz w:val="24"/>
          <w:szCs w:val="24"/>
          <w:lang w:val="es-CO"/>
        </w:rPr>
        <w:t xml:space="preserve"> y DIH dentro del conjunto documental de la entidad. Es decir, no se definen criterios técnicos, rutas de identificación ni lineamientos operativos específicos para su tratamiento diferenciado.</w:t>
      </w:r>
    </w:p>
    <w:p w14:paraId="55BCC7CD"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En consecuencia, la entidad reconoce y describe los archivos de </w:t>
      </w:r>
      <w:proofErr w:type="gramStart"/>
      <w:r w:rsidRPr="00E23F2F">
        <w:rPr>
          <w:rFonts w:ascii="Arial" w:hAnsi="Arial" w:cs="Arial"/>
          <w:bCs/>
          <w:color w:val="000000"/>
          <w:sz w:val="24"/>
          <w:szCs w:val="24"/>
          <w:lang w:val="es-CO"/>
        </w:rPr>
        <w:t>DD.HH</w:t>
      </w:r>
      <w:proofErr w:type="gramEnd"/>
      <w:r w:rsidRPr="00E23F2F">
        <w:rPr>
          <w:rFonts w:ascii="Arial" w:hAnsi="Arial" w:cs="Arial"/>
          <w:bCs/>
          <w:color w:val="000000"/>
          <w:sz w:val="24"/>
          <w:szCs w:val="24"/>
          <w:lang w:val="es-CO"/>
        </w:rPr>
        <w:t xml:space="preserve"> y DIH, pero no establece un proceso técnico plenamente definido para su identificación.</w:t>
      </w:r>
    </w:p>
    <w:p w14:paraId="4649F00B"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Cumple parcialmente </w:t>
      </w:r>
    </w:p>
    <w:p w14:paraId="1D8AB76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11.2 Asignar disposición final adecuada</w:t>
      </w:r>
      <w:r w:rsidRPr="00E23F2F">
        <w:rPr>
          <w:rFonts w:ascii="Arial" w:hAnsi="Arial" w:cs="Arial"/>
          <w:color w:val="000000"/>
          <w:sz w:val="24"/>
          <w:szCs w:val="24"/>
          <w:lang w:val="es-CO"/>
        </w:rPr>
        <w:t xml:space="preserve">, </w:t>
      </w:r>
      <w:r w:rsidRPr="00E23F2F">
        <w:rPr>
          <w:rFonts w:ascii="Arial" w:hAnsi="Arial" w:cs="Arial"/>
          <w:b/>
          <w:bCs/>
          <w:color w:val="000000"/>
          <w:sz w:val="24"/>
          <w:szCs w:val="24"/>
          <w:lang w:val="es-CO"/>
        </w:rPr>
        <w:t>priorizando la conservación permanente de documentos que puedan servir como prueba o memoria institucional.</w:t>
      </w:r>
    </w:p>
    <w:p w14:paraId="6DAAC95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La memoria descriptiva establece la importancia de los archivos de </w:t>
      </w:r>
      <w:proofErr w:type="gramStart"/>
      <w:r w:rsidRPr="00E23F2F">
        <w:rPr>
          <w:rFonts w:ascii="Arial" w:hAnsi="Arial" w:cs="Arial"/>
          <w:color w:val="000000"/>
          <w:sz w:val="24"/>
          <w:szCs w:val="24"/>
          <w:lang w:val="es-CO"/>
        </w:rPr>
        <w:t>DD.HH</w:t>
      </w:r>
      <w:proofErr w:type="gramEnd"/>
      <w:r w:rsidRPr="00E23F2F">
        <w:rPr>
          <w:rFonts w:ascii="Arial" w:hAnsi="Arial" w:cs="Arial"/>
          <w:color w:val="000000"/>
          <w:sz w:val="24"/>
          <w:szCs w:val="24"/>
          <w:lang w:val="es-CO"/>
        </w:rPr>
        <w:t xml:space="preserve"> y DIH como soporte para la verdad, la justicia, la reparación y la construcción de memoria histórica, en concordancia con lineamientos del Archivo General de la Nación.</w:t>
      </w:r>
    </w:p>
    <w:p w14:paraId="4BFB60D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Adicionalmente, se reconoce que estos documentos tienen un alto valor probatorio e investigativo, lo cual orienta su tratamiento dentro del proceso de valoración documental.</w:t>
      </w:r>
    </w:p>
    <w:p w14:paraId="05BF7F6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Sin embargo, en la revisión de las TRD no se evidencia de manera explícita y sistemática que estos criterios se reflejen directamente en la asignación de disposición final de todas las series documentales relacionadas, ni que se priorice de forma expresa la conservación permanente en todos los casos donde aplica.</w:t>
      </w:r>
    </w:p>
    <w:p w14:paraId="1E87AE6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En consecuencia, aunque existe un reconocimiento conceptual adecuado, su aplicación en la disposición final no es completamente consistente ni verificable en todos los casos.</w:t>
      </w:r>
    </w:p>
    <w:p w14:paraId="563B1F74"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Cumple parcialmente </w:t>
      </w:r>
    </w:p>
    <w:p w14:paraId="35328427"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11.3 Evitar la eliminación de documentos que puedan tener implicaciones en procesos judiciales, de verdad, justicia, reparación o no repetición. </w:t>
      </w:r>
    </w:p>
    <w:p w14:paraId="6E048BEE"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La memoria descriptiva, reconoce que los archivos de </w:t>
      </w:r>
      <w:proofErr w:type="gramStart"/>
      <w:r w:rsidRPr="00E23F2F">
        <w:rPr>
          <w:rFonts w:ascii="Arial" w:hAnsi="Arial" w:cs="Arial"/>
          <w:color w:val="000000"/>
          <w:sz w:val="24"/>
          <w:szCs w:val="24"/>
          <w:lang w:val="es-CO"/>
        </w:rPr>
        <w:t>DD.HH</w:t>
      </w:r>
      <w:proofErr w:type="gramEnd"/>
      <w:r w:rsidRPr="00E23F2F">
        <w:rPr>
          <w:rFonts w:ascii="Arial" w:hAnsi="Arial" w:cs="Arial"/>
          <w:color w:val="000000"/>
          <w:sz w:val="24"/>
          <w:szCs w:val="24"/>
          <w:lang w:val="es-CO"/>
        </w:rPr>
        <w:t xml:space="preserve"> y DIH son fundamentales para garantizar derechos como la verdad, la justicia, la reparación y las garantías de no repetición, lo cual implica la necesidad de su preservación.</w:t>
      </w:r>
    </w:p>
    <w:p w14:paraId="3F791967"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en los procedimientos asociados a la disposición final documental no se identifican lineamientos explícitos que establezcan restricciones o controles específicos para evitar la eliminación de documentos que puedan tener implicaciones en procesos judiciales o relacionados con violaciones de derechos humanos.</w:t>
      </w:r>
    </w:p>
    <w:p w14:paraId="23D06CA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ausencia de estos criterios operativos en las TRD y en los procedimientos representa un riesgo potencial de eliminación de información sensible, especialmente en contextos donde estos documentos pueden constituir prueba en procesos administrativos o judiciales.</w:t>
      </w:r>
    </w:p>
    <w:p w14:paraId="0DE4C2D2"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existe un reconocimiento teórico de la importancia de estos documentos, no se evidencia un mecanismo claro que garantice su protección frente a procesos de eliminación.</w:t>
      </w:r>
    </w:p>
    <w:p w14:paraId="0873B6D2" w14:textId="15181E14" w:rsidR="00E23F2F" w:rsidRPr="00E23F2F" w:rsidRDefault="00E23F2F" w:rsidP="00E23F2F">
      <w:pPr>
        <w:spacing w:after="160"/>
        <w:jc w:val="both"/>
        <w:rPr>
          <w:color w:val="000000"/>
          <w:sz w:val="24"/>
          <w:szCs w:val="24"/>
          <w:lang w:val="es-CO"/>
        </w:rPr>
      </w:pPr>
      <w:r w:rsidRPr="00E23F2F">
        <w:rPr>
          <w:rFonts w:ascii="Arial" w:hAnsi="Arial" w:cs="Arial"/>
          <w:b/>
          <w:bCs/>
          <w:color w:val="000000"/>
          <w:sz w:val="24"/>
          <w:szCs w:val="24"/>
          <w:lang w:val="es-CO"/>
        </w:rPr>
        <w:t>Cumple parcialmente</w:t>
      </w:r>
      <w:r w:rsidRPr="004C6FCD">
        <w:rPr>
          <w:b/>
          <w:bCs/>
          <w:color w:val="000000"/>
          <w:sz w:val="24"/>
          <w:szCs w:val="24"/>
          <w:lang w:val="es-CO"/>
        </w:rPr>
        <w:t xml:space="preserve"> </w:t>
      </w:r>
    </w:p>
    <w:p w14:paraId="43A0FA2C" w14:textId="131E2541" w:rsidR="00E54106" w:rsidRPr="00E23F2F" w:rsidRDefault="00E54106" w:rsidP="00E54106">
      <w:pPr>
        <w:spacing w:after="160"/>
        <w:jc w:val="both"/>
        <w:rPr>
          <w:rFonts w:ascii="Arial" w:hAnsi="Arial" w:cs="Arial"/>
          <w:b/>
          <w:color w:val="000000"/>
          <w:sz w:val="24"/>
          <w:szCs w:val="24"/>
        </w:rPr>
      </w:pPr>
      <w:r w:rsidRPr="00E23F2F">
        <w:rPr>
          <w:rFonts w:ascii="Arial" w:hAnsi="Arial" w:cs="Arial"/>
          <w:b/>
          <w:color w:val="000000"/>
          <w:sz w:val="24"/>
          <w:szCs w:val="24"/>
        </w:rPr>
        <w:t>CONCLUSIONES</w:t>
      </w:r>
    </w:p>
    <w:p w14:paraId="11AA452D" w14:textId="20041770" w:rsidR="00E54106" w:rsidRPr="00E23F2F" w:rsidRDefault="00E54106" w:rsidP="00E54106">
      <w:pPr>
        <w:spacing w:before="240" w:after="240"/>
        <w:jc w:val="both"/>
        <w:rPr>
          <w:rFonts w:ascii="Arial" w:hAnsi="Arial" w:cs="Arial"/>
          <w:sz w:val="24"/>
          <w:szCs w:val="24"/>
        </w:rPr>
      </w:pPr>
      <w:r w:rsidRPr="00E23F2F">
        <w:rPr>
          <w:rFonts w:ascii="Arial" w:hAnsi="Arial" w:cs="Arial"/>
          <w:color w:val="000000"/>
          <w:sz w:val="24"/>
          <w:szCs w:val="24"/>
        </w:rPr>
        <w:t xml:space="preserve">Por lo anteriormente expuesto se concluye que, la herramienta archivística: Tablas de Retención Documental - TRD presentada </w:t>
      </w:r>
      <w:r w:rsidR="00E23F2F" w:rsidRPr="00E23F2F">
        <w:rPr>
          <w:rFonts w:ascii="Arial" w:hAnsi="Arial" w:cs="Arial"/>
          <w:color w:val="000000"/>
          <w:sz w:val="24"/>
          <w:szCs w:val="24"/>
        </w:rPr>
        <w:t>por la Personería de Granada</w:t>
      </w:r>
      <w:r w:rsidRPr="00E23F2F">
        <w:rPr>
          <w:rFonts w:ascii="Arial" w:hAnsi="Arial" w:cs="Arial"/>
          <w:color w:val="000000"/>
          <w:sz w:val="24"/>
          <w:szCs w:val="24"/>
        </w:rPr>
        <w:t xml:space="preserve"> </w:t>
      </w:r>
      <w:r w:rsidRPr="00E23F2F">
        <w:rPr>
          <w:rFonts w:ascii="Arial" w:hAnsi="Arial" w:cs="Arial"/>
          <w:b/>
          <w:color w:val="000000"/>
          <w:sz w:val="24"/>
          <w:szCs w:val="24"/>
        </w:rPr>
        <w:t>NO CUMPLE</w:t>
      </w:r>
      <w:r w:rsidRPr="00E23F2F">
        <w:rPr>
          <w:rFonts w:ascii="Arial" w:hAnsi="Arial" w:cs="Arial"/>
          <w:color w:val="000000"/>
          <w:sz w:val="24"/>
          <w:szCs w:val="24"/>
        </w:rPr>
        <w:t xml:space="preserve"> con la totalidad de los requisitos técnicos definidos por el Acuerdo </w:t>
      </w:r>
      <w:r w:rsidR="00FE5DA2" w:rsidRPr="00E23F2F">
        <w:rPr>
          <w:rFonts w:ascii="Arial" w:hAnsi="Arial" w:cs="Arial"/>
          <w:color w:val="000000"/>
          <w:sz w:val="24"/>
          <w:szCs w:val="24"/>
        </w:rPr>
        <w:t>001</w:t>
      </w:r>
      <w:r w:rsidRPr="00E23F2F">
        <w:rPr>
          <w:rFonts w:ascii="Arial" w:hAnsi="Arial" w:cs="Arial"/>
          <w:color w:val="000000"/>
          <w:sz w:val="24"/>
          <w:szCs w:val="24"/>
        </w:rPr>
        <w:t xml:space="preserve"> de 20</w:t>
      </w:r>
      <w:r w:rsidR="00FE5DA2" w:rsidRPr="00E23F2F">
        <w:rPr>
          <w:rFonts w:ascii="Arial" w:hAnsi="Arial" w:cs="Arial"/>
          <w:color w:val="000000"/>
          <w:sz w:val="24"/>
          <w:szCs w:val="24"/>
        </w:rPr>
        <w:t>24</w:t>
      </w:r>
      <w:r w:rsidRPr="00E23F2F">
        <w:rPr>
          <w:rFonts w:ascii="Arial" w:hAnsi="Arial" w:cs="Arial"/>
          <w:color w:val="000000"/>
          <w:sz w:val="24"/>
          <w:szCs w:val="24"/>
        </w:rPr>
        <w:t>, expedido por el Archivo General de la Nación – AGN, y demás normas concordantes.</w:t>
      </w:r>
    </w:p>
    <w:p w14:paraId="44A39AA2" w14:textId="7D9BE957" w:rsidR="00E54106" w:rsidRPr="00E23F2F" w:rsidRDefault="00E54106" w:rsidP="00980747">
      <w:pPr>
        <w:spacing w:before="240" w:after="240"/>
        <w:jc w:val="both"/>
        <w:rPr>
          <w:rFonts w:ascii="Arial" w:hAnsi="Arial" w:cs="Arial"/>
          <w:b/>
          <w:color w:val="000000"/>
          <w:sz w:val="24"/>
          <w:szCs w:val="24"/>
        </w:rPr>
      </w:pPr>
      <w:r w:rsidRPr="00E23F2F">
        <w:rPr>
          <w:rFonts w:ascii="Arial" w:hAnsi="Arial" w:cs="Arial"/>
          <w:color w:val="000000"/>
          <w:sz w:val="24"/>
          <w:szCs w:val="24"/>
        </w:rPr>
        <w:t>Dentro del proceso de evaluación y análisis de la propuesta de Tabla de Retención Documental – TRD de</w:t>
      </w:r>
      <w:r w:rsidR="00E23F2F" w:rsidRPr="00E23F2F">
        <w:rPr>
          <w:rFonts w:ascii="Arial" w:hAnsi="Arial" w:cs="Arial"/>
          <w:color w:val="000000"/>
          <w:sz w:val="24"/>
          <w:szCs w:val="24"/>
        </w:rPr>
        <w:t xml:space="preserve"> la Personería de Granada</w:t>
      </w:r>
      <w:r w:rsidRPr="00E23F2F">
        <w:rPr>
          <w:rFonts w:ascii="Arial" w:hAnsi="Arial" w:cs="Arial"/>
          <w:color w:val="000000"/>
          <w:sz w:val="24"/>
          <w:szCs w:val="24"/>
        </w:rPr>
        <w:t xml:space="preserve">, se concluye que el presente </w:t>
      </w:r>
      <w:r w:rsidR="00AA5A17" w:rsidRPr="00E23F2F">
        <w:rPr>
          <w:rFonts w:ascii="Arial" w:hAnsi="Arial" w:cs="Arial"/>
          <w:color w:val="000000"/>
          <w:sz w:val="24"/>
          <w:szCs w:val="24"/>
        </w:rPr>
        <w:t>informe</w:t>
      </w:r>
      <w:r w:rsidRPr="00E23F2F">
        <w:rPr>
          <w:rFonts w:ascii="Arial" w:hAnsi="Arial" w:cs="Arial"/>
          <w:color w:val="000000"/>
          <w:sz w:val="24"/>
          <w:szCs w:val="24"/>
        </w:rPr>
        <w:t xml:space="preserve"> técnico es </w:t>
      </w:r>
      <w:r w:rsidRPr="00E23F2F">
        <w:rPr>
          <w:rFonts w:ascii="Arial" w:hAnsi="Arial" w:cs="Arial"/>
          <w:b/>
          <w:color w:val="000000"/>
          <w:sz w:val="24"/>
          <w:szCs w:val="24"/>
        </w:rPr>
        <w:t>NO FAVORABLE.</w:t>
      </w:r>
    </w:p>
    <w:p w14:paraId="6554A645" w14:textId="2D65741E" w:rsidR="00605BBD" w:rsidRPr="00E23F2F" w:rsidRDefault="00E54106" w:rsidP="00980747">
      <w:pPr>
        <w:spacing w:after="160"/>
        <w:jc w:val="both"/>
        <w:rPr>
          <w:rFonts w:ascii="Arial" w:hAnsi="Arial" w:cs="Arial"/>
          <w:color w:val="000000"/>
          <w:sz w:val="24"/>
          <w:szCs w:val="24"/>
        </w:rPr>
      </w:pPr>
      <w:r w:rsidRPr="00E23F2F">
        <w:rPr>
          <w:rFonts w:ascii="Arial" w:hAnsi="Arial" w:cs="Arial"/>
          <w:color w:val="000000"/>
          <w:sz w:val="24"/>
          <w:szCs w:val="24"/>
        </w:rPr>
        <w:t>Se deben realizar los ajustes pertinentes y cualquier otra modificación necesaria para asegurar que el instrumento cumpla con las normativas vigentes, así como con las normas relacionadas con la producción documental del AGN. </w:t>
      </w:r>
    </w:p>
    <w:p w14:paraId="5A2B555A" w14:textId="77777777" w:rsidR="00605BBD" w:rsidRDefault="00605BBD" w:rsidP="00AA5A17">
      <w:pPr>
        <w:spacing w:after="160"/>
        <w:jc w:val="both"/>
        <w:rPr>
          <w:rFonts w:ascii="Arial" w:hAnsi="Arial" w:cs="Arial"/>
          <w:b/>
          <w:color w:val="000000"/>
          <w:sz w:val="24"/>
          <w:szCs w:val="24"/>
        </w:rPr>
      </w:pPr>
    </w:p>
    <w:p w14:paraId="106E5DC2" w14:textId="77777777" w:rsidR="00605BBD" w:rsidRDefault="00605BBD" w:rsidP="00AA5A17">
      <w:pPr>
        <w:spacing w:after="160"/>
        <w:jc w:val="both"/>
        <w:rPr>
          <w:rFonts w:ascii="Arial" w:hAnsi="Arial" w:cs="Arial"/>
          <w:b/>
          <w:color w:val="000000"/>
          <w:sz w:val="24"/>
          <w:szCs w:val="24"/>
        </w:rPr>
      </w:pPr>
    </w:p>
    <w:p w14:paraId="6F53CAAD" w14:textId="77777777" w:rsidR="00605BBD" w:rsidRDefault="00605BBD" w:rsidP="00AA5A17">
      <w:pPr>
        <w:spacing w:after="160"/>
        <w:jc w:val="both"/>
        <w:rPr>
          <w:rFonts w:ascii="Arial" w:hAnsi="Arial" w:cs="Arial"/>
          <w:b/>
          <w:color w:val="000000"/>
          <w:sz w:val="24"/>
          <w:szCs w:val="24"/>
        </w:rPr>
      </w:pPr>
    </w:p>
    <w:p w14:paraId="7B48CFA4" w14:textId="750F844F" w:rsidR="00E54106" w:rsidRPr="001A6555" w:rsidRDefault="00E54106" w:rsidP="00AA5A17">
      <w:pPr>
        <w:spacing w:after="160"/>
        <w:jc w:val="both"/>
        <w:rPr>
          <w:rFonts w:ascii="Arial" w:hAnsi="Arial" w:cs="Arial"/>
          <w:sz w:val="24"/>
          <w:szCs w:val="24"/>
        </w:rPr>
      </w:pPr>
      <w:proofErr w:type="gramStart"/>
      <w:r w:rsidRPr="001A6555">
        <w:rPr>
          <w:rFonts w:ascii="Arial" w:hAnsi="Arial" w:cs="Arial"/>
          <w:b/>
          <w:color w:val="000000"/>
          <w:sz w:val="24"/>
          <w:szCs w:val="24"/>
        </w:rPr>
        <w:t>Firma evaluador</w:t>
      </w:r>
      <w:proofErr w:type="gramEnd"/>
      <w:r w:rsidRPr="001A6555">
        <w:rPr>
          <w:rFonts w:ascii="Arial" w:hAnsi="Arial" w:cs="Arial"/>
          <w:b/>
          <w:color w:val="000000"/>
          <w:sz w:val="24"/>
          <w:szCs w:val="24"/>
        </w:rPr>
        <w:t>:</w:t>
      </w:r>
    </w:p>
    <w:p w14:paraId="3352B22D" w14:textId="77777777" w:rsidR="00E54106" w:rsidRPr="001A6555" w:rsidRDefault="00E54106" w:rsidP="00E54106">
      <w:pPr>
        <w:rPr>
          <w:rFonts w:ascii="Arial" w:hAnsi="Arial" w:cs="Arial"/>
          <w:sz w:val="18"/>
          <w:szCs w:val="18"/>
        </w:rPr>
      </w:pPr>
      <w:r w:rsidRPr="001A6555">
        <w:rPr>
          <w:rFonts w:ascii="Arial" w:hAnsi="Arial" w:cs="Arial"/>
          <w:noProof/>
          <w:color w:val="000000"/>
          <w:sz w:val="18"/>
          <w:szCs w:val="18"/>
        </w:rPr>
        <w:drawing>
          <wp:inline distT="0" distB="0" distL="0" distR="0" wp14:anchorId="382ED3FB" wp14:editId="1278240B">
            <wp:extent cx="1763958" cy="1032562"/>
            <wp:effectExtent l="0" t="0" r="0" b="0"/>
            <wp:docPr id="141757876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a:srcRect r="87625" b="-5727"/>
                    <a:stretch>
                      <a:fillRect/>
                    </a:stretch>
                  </pic:blipFill>
                  <pic:spPr>
                    <a:xfrm>
                      <a:off x="0" y="0"/>
                      <a:ext cx="1763958" cy="1032562"/>
                    </a:xfrm>
                    <a:prstGeom prst="rect">
                      <a:avLst/>
                    </a:prstGeom>
                    <a:ln/>
                  </pic:spPr>
                </pic:pic>
              </a:graphicData>
            </a:graphic>
          </wp:inline>
        </w:drawing>
      </w:r>
    </w:p>
    <w:p w14:paraId="068A3BE6" w14:textId="77777777" w:rsidR="00E54106" w:rsidRPr="001A6555" w:rsidRDefault="00E54106" w:rsidP="00E54106">
      <w:pPr>
        <w:jc w:val="both"/>
        <w:rPr>
          <w:rFonts w:ascii="Arial" w:hAnsi="Arial" w:cs="Arial"/>
          <w:sz w:val="18"/>
          <w:szCs w:val="18"/>
        </w:rPr>
      </w:pPr>
      <w:r w:rsidRPr="001A6555">
        <w:rPr>
          <w:rFonts w:ascii="Arial" w:hAnsi="Arial" w:cs="Arial"/>
          <w:color w:val="000000"/>
          <w:sz w:val="18"/>
          <w:szCs w:val="18"/>
        </w:rPr>
        <w:t>JHON BAYRON BEDOYA SANDOVAL</w:t>
      </w:r>
    </w:p>
    <w:p w14:paraId="0375B8C8" w14:textId="1EFC7048" w:rsidR="00477CC8" w:rsidRPr="001A6555" w:rsidRDefault="00E54106" w:rsidP="00AA5A17">
      <w:pPr>
        <w:rPr>
          <w:rFonts w:ascii="Arial" w:hAnsi="Arial" w:cs="Arial"/>
          <w:b/>
          <w:color w:val="000000"/>
          <w:sz w:val="18"/>
          <w:szCs w:val="18"/>
        </w:rPr>
      </w:pPr>
      <w:r w:rsidRPr="001A6555">
        <w:rPr>
          <w:rFonts w:ascii="Arial" w:hAnsi="Arial" w:cs="Arial"/>
          <w:b/>
          <w:color w:val="000000"/>
          <w:sz w:val="18"/>
          <w:szCs w:val="18"/>
        </w:rPr>
        <w:t>HISTORIADOR</w:t>
      </w:r>
    </w:p>
    <w:p w14:paraId="0CEDADA6" w14:textId="22D94D9A" w:rsidR="00AA5A17" w:rsidRPr="001A6555" w:rsidRDefault="00AA5A17" w:rsidP="00AA5A17">
      <w:pPr>
        <w:rPr>
          <w:rFonts w:ascii="Arial" w:hAnsi="Arial" w:cs="Arial"/>
          <w:b/>
          <w:color w:val="000000"/>
          <w:sz w:val="18"/>
          <w:szCs w:val="18"/>
          <w:highlight w:val="yellow"/>
        </w:rPr>
      </w:pPr>
    </w:p>
    <w:p w14:paraId="3D410E9B" w14:textId="5D42AC74" w:rsidR="00AA5A17" w:rsidRPr="001A6555" w:rsidRDefault="00AA5A17" w:rsidP="00AA5A17">
      <w:pPr>
        <w:rPr>
          <w:rFonts w:ascii="Arial" w:hAnsi="Arial" w:cs="Arial"/>
          <w:b/>
          <w:color w:val="000000"/>
          <w:sz w:val="18"/>
          <w:szCs w:val="18"/>
          <w:highlight w:val="yellow"/>
        </w:rPr>
      </w:pPr>
    </w:p>
    <w:p w14:paraId="252C568D" w14:textId="77777777" w:rsidR="00AA5A17" w:rsidRPr="001A6555" w:rsidRDefault="00AA5A17" w:rsidP="00AA5A17">
      <w:pPr>
        <w:jc w:val="both"/>
        <w:rPr>
          <w:rFonts w:ascii="Arial" w:hAnsi="Arial" w:cs="Arial"/>
          <w:sz w:val="18"/>
          <w:szCs w:val="18"/>
          <w:highlight w:val="yellow"/>
        </w:rPr>
      </w:pPr>
    </w:p>
    <w:p w14:paraId="156D1E34" w14:textId="77777777" w:rsidR="00AA5A17" w:rsidRPr="001A6555" w:rsidRDefault="00AA5A17" w:rsidP="00AA5A17">
      <w:pPr>
        <w:jc w:val="both"/>
        <w:rPr>
          <w:rFonts w:ascii="Arial" w:hAnsi="Arial" w:cs="Arial"/>
          <w:sz w:val="18"/>
          <w:szCs w:val="18"/>
          <w:highlight w:val="yellow"/>
        </w:rPr>
      </w:pPr>
    </w:p>
    <w:p w14:paraId="46927C3D" w14:textId="77777777" w:rsidR="00B82720" w:rsidRPr="001A6555" w:rsidRDefault="00B82720" w:rsidP="00AA5A17">
      <w:pPr>
        <w:jc w:val="both"/>
        <w:rPr>
          <w:rFonts w:ascii="Arial" w:hAnsi="Arial" w:cs="Arial"/>
          <w:sz w:val="18"/>
          <w:szCs w:val="18"/>
          <w:highlight w:val="yellow"/>
        </w:rPr>
      </w:pPr>
    </w:p>
    <w:p w14:paraId="62C68E87" w14:textId="363DF71F" w:rsidR="00AA5A17" w:rsidRPr="00D303EF" w:rsidRDefault="00AA5A17" w:rsidP="00AA5A17">
      <w:pPr>
        <w:rPr>
          <w:rFonts w:ascii="Arial" w:hAnsi="Arial" w:cs="Arial"/>
          <w:sz w:val="24"/>
          <w:szCs w:val="24"/>
        </w:rPr>
      </w:pPr>
    </w:p>
    <w:sectPr w:rsidR="00AA5A17" w:rsidRPr="00D303EF">
      <w:headerReference w:type="default" r:id="rId10"/>
      <w:footerReference w:type="default" r:id="rId11"/>
      <w:pgSz w:w="12240" w:h="15840"/>
      <w:pgMar w:top="2126" w:right="1701" w:bottom="1701" w:left="1701" w:header="720" w:footer="91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76A5A" w14:textId="77777777" w:rsidR="00A74DB5" w:rsidRDefault="00A74DB5">
      <w:r>
        <w:separator/>
      </w:r>
    </w:p>
  </w:endnote>
  <w:endnote w:type="continuationSeparator" w:id="0">
    <w:p w14:paraId="5CB4C1EE" w14:textId="77777777" w:rsidR="00A74DB5" w:rsidRDefault="00A74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Bitstream Vera Sans">
    <w:charset w:val="00"/>
    <w:family w:val="swiss"/>
    <w:pitch w:val="variable"/>
    <w:sig w:usb0="800000AF" w:usb1="1000204A" w:usb2="00000000" w:usb3="00000000" w:csb0="00000001" w:csb1="00000000"/>
  </w:font>
  <w:font w:name="CG Times">
    <w:charset w:val="00"/>
    <w:family w:val="roman"/>
    <w:pitch w:val="variable"/>
    <w:sig w:usb0="00000003" w:usb1="00000000" w:usb2="00000000" w:usb3="00000000" w:csb0="00000001" w:csb1="00000000"/>
    <w:embedItalic r:id="rId1" w:fontKey="{812FB71B-8560-4655-BEE2-D5AA3137BAC0}"/>
    <w:embedBoldItalic r:id="rId2" w:fontKey="{87EFE66D-4A53-4992-8927-45DE18826746}"/>
  </w:font>
  <w:font w:name="Tahoma">
    <w:panose1 w:val="020B0604030504040204"/>
    <w:charset w:val="00"/>
    <w:family w:val="swiss"/>
    <w:pitch w:val="variable"/>
    <w:sig w:usb0="E1002EFF" w:usb1="C000605B" w:usb2="00000029" w:usb3="00000000" w:csb0="000101FF" w:csb1="00000000"/>
    <w:embedRegular r:id="rId3" w:fontKey="{5ED31C68-897C-4923-B6B1-652429D117A4}"/>
    <w:embedBold r:id="rId4" w:fontKey="{17780397-82EB-4F3D-931C-1A39F7ABA30D}"/>
  </w:font>
  <w:font w:name="Bitstream Vera Serif">
    <w:charset w:val="00"/>
    <w:family w:val="roman"/>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3AD8D91F-E4B7-4E90-B2CB-E8925AAD5EA0}"/>
  </w:font>
  <w:font w:name="Georgia">
    <w:panose1 w:val="02040502050405020303"/>
    <w:charset w:val="00"/>
    <w:family w:val="roman"/>
    <w:pitch w:val="variable"/>
    <w:sig w:usb0="00000287" w:usb1="00000000" w:usb2="00000000" w:usb3="00000000" w:csb0="0000009F" w:csb1="00000000"/>
    <w:embedRegular r:id="rId6" w:fontKey="{B743D380-8273-422F-A103-2848E263E7C1}"/>
    <w:embedItalic r:id="rId7" w:fontKey="{99EB009B-1756-4493-82B5-20359B2D7825}"/>
  </w:font>
  <w:font w:name="Gotham Narrow Book">
    <w:altName w:val="Tahoma"/>
    <w:panose1 w:val="00000000000000000000"/>
    <w:charset w:val="00"/>
    <w:family w:val="auto"/>
    <w:notTrueType/>
    <w:pitch w:val="variable"/>
    <w:sig w:usb0="A000007F" w:usb1="4000004A" w:usb2="00000000" w:usb3="00000000" w:csb0="0000009B" w:csb1="00000000"/>
  </w:font>
  <w:font w:name="Calibri">
    <w:panose1 w:val="020F0502020204030204"/>
    <w:charset w:val="00"/>
    <w:family w:val="swiss"/>
    <w:pitch w:val="variable"/>
    <w:sig w:usb0="E4002EFF" w:usb1="C200247B" w:usb2="00000009" w:usb3="00000000" w:csb0="000001FF" w:csb1="00000000"/>
    <w:embedRegular r:id="rId8" w:fontKey="{7A737B44-B451-4E4A-B22B-AB916E1891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2F15D" w14:textId="77777777" w:rsidR="00394479" w:rsidRDefault="00000000">
    <w:pPr>
      <w:pBdr>
        <w:top w:val="nil"/>
        <w:left w:val="nil"/>
        <w:bottom w:val="nil"/>
        <w:right w:val="nil"/>
        <w:between w:val="nil"/>
      </w:pBdr>
      <w:tabs>
        <w:tab w:val="center" w:pos="4252"/>
        <w:tab w:val="right" w:pos="8504"/>
        <w:tab w:val="left" w:pos="6400"/>
      </w:tabs>
      <w:rPr>
        <w:color w:val="000000"/>
      </w:rPr>
    </w:pPr>
    <w:r>
      <w:rPr>
        <w:noProof/>
      </w:rPr>
      <w:drawing>
        <wp:anchor distT="0" distB="0" distL="0" distR="0" simplePos="0" relativeHeight="251659264" behindDoc="1" locked="0" layoutInCell="1" hidden="0" allowOverlap="1" wp14:anchorId="4BF7CA3D" wp14:editId="31BBF9DB">
          <wp:simplePos x="0" y="0"/>
          <wp:positionH relativeFrom="column">
            <wp:posOffset>-1013460</wp:posOffset>
          </wp:positionH>
          <wp:positionV relativeFrom="paragraph">
            <wp:posOffset>-261621</wp:posOffset>
          </wp:positionV>
          <wp:extent cx="7721078" cy="1099185"/>
          <wp:effectExtent l="0" t="0" r="0" b="5715"/>
          <wp:wrapNone/>
          <wp:docPr id="194300740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25970" cy="1099881"/>
                  </a:xfrm>
                  <a:prstGeom prst="rect">
                    <a:avLst/>
                  </a:prstGeom>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hidden="0" allowOverlap="1" wp14:anchorId="04255261" wp14:editId="26D6066B">
              <wp:simplePos x="0" y="0"/>
              <wp:positionH relativeFrom="column">
                <wp:posOffset>3263900</wp:posOffset>
              </wp:positionH>
              <wp:positionV relativeFrom="paragraph">
                <wp:posOffset>-152399</wp:posOffset>
              </wp:positionV>
              <wp:extent cx="3438525" cy="581025"/>
              <wp:effectExtent l="0" t="0" r="0" b="0"/>
              <wp:wrapNone/>
              <wp:docPr id="5" name="Rectángulo 5"/>
              <wp:cNvGraphicFramePr/>
              <a:graphic xmlns:a="http://schemas.openxmlformats.org/drawingml/2006/main">
                <a:graphicData uri="http://schemas.microsoft.com/office/word/2010/wordprocessingShape">
                  <wps:wsp>
                    <wps:cNvSpPr/>
                    <wps:spPr>
                      <a:xfrm>
                        <a:off x="3631500" y="3494250"/>
                        <a:ext cx="3429000" cy="571500"/>
                      </a:xfrm>
                      <a:prstGeom prst="rect">
                        <a:avLst/>
                      </a:prstGeom>
                      <a:noFill/>
                      <a:ln>
                        <a:noFill/>
                      </a:ln>
                    </wps:spPr>
                    <wps:txbx>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wps:txbx>
                    <wps:bodyPr spcFirstLastPara="1" wrap="square" lIns="91425" tIns="45700" rIns="91425" bIns="45700" anchor="t" anchorCtr="0">
                      <a:noAutofit/>
                    </wps:bodyPr>
                  </wps:wsp>
                </a:graphicData>
              </a:graphic>
            </wp:anchor>
          </w:drawing>
        </mc:Choice>
        <mc:Fallback>
          <w:pict>
            <v:rect w14:anchorId="04255261" id="Rectángulo 5" o:spid="_x0000_s1027" style="position:absolute;margin-left:257pt;margin-top:-12pt;width:270.75pt;height:45.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zU2uQEAAGEDAAAOAAAAZHJzL2Uyb0RvYy54bWysU8Fu2zAMvQ/oPwi6L7bTpF2MOMXQIsOA&#10;YgvQ7QMUWYoFyJJKKrHz96OUrEm327CLTJHE03uP9PJh7C07KEDjXcOrScmZctK3xu0a/vPH+uMn&#10;zjAK1wrrnWr4USF/WN18WA6hVlPfedsqYATisB5Cw7sYQ10UKDvVC5z4oBwVtYdeRLrCrmhBDITe&#10;22JalnfF4KEN4KVCpOzTqchXGV9rJeN3rVFFZhtO3GI+IZ/bdBarpah3IEJn5JmG+AcWvTCOHn2D&#10;ehJRsD2Yv6B6I8Gj13EifV94rY1UWQOpqco/1Lx0IqishczB8GYT/j9Y+e3wEjZANgwBa6QwqRg1&#10;9OlL/NjY8Nu722pekn1HimeL2XR+Nk6NkcnUMJsuytQgqWN+n5sJsrggBcD4RfmepaDhQIPJfonD&#10;M8ZT6++W9LDza2NtHo517xKEmTLFhW6K4rgdmWlpA9NEU2br2+MGGAa5NvTks8C4EUCzrTgbaN4N&#10;x9e9AMWZ/erI0EVFsmhB8mU2v09q4Lqyva4IJztPaxQ5O4WPMS/ViernffTaZFkXKmfONMdszHnn&#10;0qJc33PX5c9Y/QIAAP//AwBQSwMEFAAGAAgAAAAhAJYpBtzcAAAACwEAAA8AAABkcnMvZG93bnJl&#10;di54bWxMj8FOwzAQRO9I/IO1SNxaO1UdUIhTIQQHjqQcOLrxkkTY68h22vTvcU5wm9WMZt/Uh8VZ&#10;dsYQR08Kiq0AhtR5M1Kv4PP4tnkEFpMmo60nVHDFCIfm9qbWlfEX+sBzm3qWSyhWWsGQ0lRxHrsB&#10;nY5bPyFl79sHp1M+Q89N0Jdc7izfCVFyp0fKHwY94cuA3U87OwUTWjPbfSu+Ov4aqCjfj/wqlbq/&#10;W56fgCVc0l8YVvyMDk1mOvmZTGRWgSz2eUtSsNmtYk0IKSWwk4LyQQJvav5/Q/MLAAD//wMAUEsB&#10;Ai0AFAAGAAgAAAAhALaDOJL+AAAA4QEAABMAAAAAAAAAAAAAAAAAAAAAAFtDb250ZW50X1R5cGVz&#10;XS54bWxQSwECLQAUAAYACAAAACEAOP0h/9YAAACUAQAACwAAAAAAAAAAAAAAAAAvAQAAX3JlbHMv&#10;LnJlbHNQSwECLQAUAAYACAAAACEAQw81NrkBAABhAwAADgAAAAAAAAAAAAAAAAAuAgAAZHJzL2Uy&#10;b0RvYy54bWxQSwECLQAUAAYACAAAACEAlikG3NwAAAALAQAADwAAAAAAAAAAAAAAAAATBAAAZHJz&#10;L2Rvd25yZXYueG1sUEsFBgAAAAAEAAQA8wAAABwFAAAAAA==&#10;" filled="f" stroked="f">
              <v:textbox inset="2.53958mm,1.2694mm,2.53958mm,1.2694mm">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v:textbox>
            </v:rect>
          </w:pict>
        </mc:Fallback>
      </mc:AlternateContent>
    </w:r>
  </w:p>
  <w:p w14:paraId="1E3250EF" w14:textId="77777777" w:rsidR="00394479" w:rsidRDefault="00394479">
    <w:pPr>
      <w:pBdr>
        <w:top w:val="nil"/>
        <w:left w:val="nil"/>
        <w:bottom w:val="nil"/>
        <w:right w:val="nil"/>
        <w:between w:val="nil"/>
      </w:pBdr>
      <w:tabs>
        <w:tab w:val="center" w:pos="4252"/>
        <w:tab w:val="right" w:pos="8504"/>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A9FA72" w14:textId="77777777" w:rsidR="00A74DB5" w:rsidRDefault="00A74DB5">
      <w:r>
        <w:separator/>
      </w:r>
    </w:p>
  </w:footnote>
  <w:footnote w:type="continuationSeparator" w:id="0">
    <w:p w14:paraId="3009C329" w14:textId="77777777" w:rsidR="00A74DB5" w:rsidRDefault="00A74D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B6292" w14:textId="27449CA7" w:rsidR="00394479" w:rsidRDefault="00D13ECC">
    <w:pPr>
      <w:pBdr>
        <w:top w:val="nil"/>
        <w:left w:val="nil"/>
        <w:bottom w:val="nil"/>
        <w:right w:val="nil"/>
        <w:between w:val="nil"/>
      </w:pBdr>
      <w:tabs>
        <w:tab w:val="center" w:pos="4252"/>
        <w:tab w:val="right" w:pos="8504"/>
      </w:tabs>
      <w:ind w:left="708" w:firstLine="4956"/>
      <w:rPr>
        <w:color w:val="000000"/>
      </w:rPr>
    </w:pPr>
    <w:r w:rsidRPr="00D13ECC">
      <w:rPr>
        <w:noProof/>
        <w:color w:val="000000"/>
      </w:rPr>
      <mc:AlternateContent>
        <mc:Choice Requires="wps">
          <w:drawing>
            <wp:anchor distT="45720" distB="45720" distL="114300" distR="114300" simplePos="0" relativeHeight="251662336" behindDoc="0" locked="0" layoutInCell="1" allowOverlap="1" wp14:anchorId="0E3A6A1E" wp14:editId="30703FF1">
              <wp:simplePos x="0" y="0"/>
              <wp:positionH relativeFrom="page">
                <wp:align>right</wp:align>
              </wp:positionH>
              <wp:positionV relativeFrom="paragraph">
                <wp:posOffset>137160</wp:posOffset>
              </wp:positionV>
              <wp:extent cx="4732020" cy="140462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4620"/>
                      </a:xfrm>
                      <a:prstGeom prst="rect">
                        <a:avLst/>
                      </a:prstGeom>
                      <a:solidFill>
                        <a:srgbClr val="FFFFFF"/>
                      </a:solidFill>
                      <a:ln w="9525">
                        <a:noFill/>
                        <a:miter lim="800000"/>
                        <a:headEnd/>
                        <a:tailEnd/>
                      </a:ln>
                    </wps:spPr>
                    <wps:txbx>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1"/>
                                        <a:stretch>
                                          <a:fillRect/>
                                        </a:stretch>
                                      </pic:blipFill>
                                      <pic:spPr>
                                        <a:xfrm>
                                          <a:off x="0" y="0"/>
                                          <a:ext cx="3333333" cy="43809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E3A6A1E" id="_x0000_t202" coordsize="21600,21600" o:spt="202" path="m,l,21600r21600,l21600,xe">
              <v:stroke joinstyle="miter"/>
              <v:path gradientshapeok="t" o:connecttype="rect"/>
            </v:shapetype>
            <v:shape id="Cuadro de texto 2" o:spid="_x0000_s1026" type="#_x0000_t202" style="position:absolute;left:0;text-align:left;margin-left:321.4pt;margin-top:10.8pt;width:372.6pt;height:110.6pt;z-index:251662336;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KmCwIAAPcDAAAOAAAAZHJzL2Uyb0RvYy54bWysU9tu2zAMfR+wfxD0vtjJkl6MOEWXLsOA&#10;7gJ0+wBZlmNhsqhRSuzu60vJbpptb8P0IIgidUgeHq1vhs6wo0KvwZZ8Pss5U1ZCre2+5N+/7d5c&#10;ceaDsLUwYFXJH5XnN5vXr9a9K9QCWjC1QkYg1he9K3kbgiuyzMtWdcLPwClLzgawE4FM3Gc1ip7Q&#10;O5Mt8vwi6wFrhyCV93R7Nzr5JuE3jZLhS9N4FZgpOdUW0o5pr+Kebdai2KNwrZZTGeIfquiEtpT0&#10;BHUngmAH1H9BdVoieGjCTEKXQdNoqVIP1M08/6Obh1Y4lXohcrw70eT/H6z8fHxwX5GF4R0MNMDU&#10;hHf3IH94ZmHbCrtXt4jQt0rUlHgeKct654vpaaTaFz6CVP0nqGnI4hAgAQ0NdpEV6pMROg3g8US6&#10;GgKTdLm8fLvIF+SS5Jsv8+UFGTGHKJ6fO/Thg4KOxUPJkaaa4MXx3ocx9DkkZvNgdL3TxiQD99XW&#10;IDsKUsAurQn9tzBjWV/y69VilZAtxPdJHJ0OpFCju5Jf5XGNmol0vLd1CglCm/FMRRs78RMpGckJ&#10;QzVQYOSpgvqRmEIYlUg/hw4t4C/OelJhyf3Pg0DFmfloie3r+XIZZZuM5eoy8oTnnurcI6wkqJIH&#10;zsbjNiSpJx7cLU1lpxNfL5VMtZK6EuPTT4jyPbdT1Mt/3TwBAAD//wMAUEsDBBQABgAIAAAAIQBg&#10;7IIX3QAAAAcBAAAPAAAAZHJzL2Rvd25yZXYueG1sTI/BTsMwEETvSPyDtUjcqNOoLVWIU1VUXDgg&#10;UZDg6MabOCJeW7abhr9nOcFxZ0Yzb+vd7EYxYUyDJwXLRQECqfVmoF7B+9vT3RZEypqMHj2hgm9M&#10;sGuur2pdGX+hV5yOuRdcQqnSCmzOoZIytRadTgsfkNjrfHQ68xl7aaK+cLkbZVkUG+n0QLxgdcBH&#10;i+3X8ewUfDg7mEN8+ezMOB2eu/06zDEodXsz7x9AZJzzXxh+8RkdGmY6+TOZJEYF/EhWUC43INi9&#10;X61LECcWVuUWZFPL//zNDwAAAP//AwBQSwECLQAUAAYACAAAACEAtoM4kv4AAADhAQAAEwAAAAAA&#10;AAAAAAAAAAAAAAAAW0NvbnRlbnRfVHlwZXNdLnhtbFBLAQItABQABgAIAAAAIQA4/SH/1gAAAJQB&#10;AAALAAAAAAAAAAAAAAAAAC8BAABfcmVscy8ucmVsc1BLAQItABQABgAIAAAAIQBbPtKmCwIAAPcD&#10;AAAOAAAAAAAAAAAAAAAAAC4CAABkcnMvZTJvRG9jLnhtbFBLAQItABQABgAIAAAAIQBg7IIX3QAA&#10;AAcBAAAPAAAAAAAAAAAAAAAAAGUEAABkcnMvZG93bnJldi54bWxQSwUGAAAAAAQABADzAAAAbwUA&#10;AAAA&#10;" stroked="f">
              <v:textbox style="mso-fit-shape-to-text:t">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1"/>
                                  <a:stretch>
                                    <a:fillRect/>
                                  </a:stretch>
                                </pic:blipFill>
                                <pic:spPr>
                                  <a:xfrm>
                                    <a:off x="0" y="0"/>
                                    <a:ext cx="3333333" cy="438095"/>
                                  </a:xfrm>
                                  <a:prstGeom prst="rect">
                                    <a:avLst/>
                                  </a:prstGeom>
                                </pic:spPr>
                              </pic:pic>
                            </a:graphicData>
                          </a:graphic>
                        </wp:inline>
                      </w:drawing>
                    </w:r>
                  </w:p>
                </w:txbxContent>
              </v:textbox>
              <w10:wrap type="square" anchorx="page"/>
            </v:shape>
          </w:pict>
        </mc:Fallback>
      </mc:AlternateContent>
    </w:r>
    <w:r>
      <w:rPr>
        <w:noProof/>
      </w:rPr>
      <w:drawing>
        <wp:anchor distT="0" distB="0" distL="0" distR="0" simplePos="0" relativeHeight="251658240" behindDoc="1" locked="0" layoutInCell="1" hidden="0" allowOverlap="1" wp14:anchorId="2C0E1D51" wp14:editId="01D46DF2">
          <wp:simplePos x="0" y="0"/>
          <wp:positionH relativeFrom="column">
            <wp:posOffset>-897255</wp:posOffset>
          </wp:positionH>
          <wp:positionV relativeFrom="paragraph">
            <wp:posOffset>-358140</wp:posOffset>
          </wp:positionV>
          <wp:extent cx="3276600" cy="1242060"/>
          <wp:effectExtent l="0" t="0" r="0" b="0"/>
          <wp:wrapNone/>
          <wp:docPr id="21390357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
                  <a:srcRect b="8967"/>
                  <a:stretch>
                    <a:fillRect/>
                  </a:stretch>
                </pic:blipFill>
                <pic:spPr>
                  <a:xfrm>
                    <a:off x="0" y="0"/>
                    <a:ext cx="3278083" cy="1242622"/>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77DC"/>
    <w:multiLevelType w:val="multilevel"/>
    <w:tmpl w:val="CA0CA5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F6BCB"/>
    <w:multiLevelType w:val="multilevel"/>
    <w:tmpl w:val="4CC45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896DF0"/>
    <w:multiLevelType w:val="multilevel"/>
    <w:tmpl w:val="CB9EE1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516561"/>
    <w:multiLevelType w:val="multilevel"/>
    <w:tmpl w:val="02D042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BDF17D3"/>
    <w:multiLevelType w:val="multilevel"/>
    <w:tmpl w:val="7C122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654014"/>
    <w:multiLevelType w:val="multilevel"/>
    <w:tmpl w:val="E0E2D034"/>
    <w:lvl w:ilvl="0">
      <w:start w:val="1"/>
      <w:numFmt w:val="decimal"/>
      <w:lvlText w:val="%1."/>
      <w:lvlJc w:val="left"/>
      <w:pPr>
        <w:ind w:left="360" w:hanging="360"/>
      </w:pPr>
    </w:lvl>
    <w:lvl w:ilvl="1">
      <w:start w:val="5"/>
      <w:numFmt w:val="decimal"/>
      <w:lvlText w:val="%1.%2."/>
      <w:lvlJc w:val="left"/>
      <w:pPr>
        <w:ind w:left="435" w:hanging="43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0C8502EF"/>
    <w:multiLevelType w:val="multilevel"/>
    <w:tmpl w:val="67CE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4D09CA"/>
    <w:multiLevelType w:val="multilevel"/>
    <w:tmpl w:val="54E43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13345E"/>
    <w:multiLevelType w:val="multilevel"/>
    <w:tmpl w:val="8A72B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AC6E69"/>
    <w:multiLevelType w:val="multilevel"/>
    <w:tmpl w:val="09A6A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C052FD"/>
    <w:multiLevelType w:val="multilevel"/>
    <w:tmpl w:val="DB5AA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B051F0B"/>
    <w:multiLevelType w:val="multilevel"/>
    <w:tmpl w:val="65444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0F0E1F"/>
    <w:multiLevelType w:val="multilevel"/>
    <w:tmpl w:val="B52E4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590244"/>
    <w:multiLevelType w:val="multilevel"/>
    <w:tmpl w:val="399C91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30514773"/>
    <w:multiLevelType w:val="multilevel"/>
    <w:tmpl w:val="7778C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3F86B61"/>
    <w:multiLevelType w:val="multilevel"/>
    <w:tmpl w:val="4AD4F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E51185"/>
    <w:multiLevelType w:val="multilevel"/>
    <w:tmpl w:val="A77E2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B271872"/>
    <w:multiLevelType w:val="multilevel"/>
    <w:tmpl w:val="07FC9678"/>
    <w:lvl w:ilvl="0">
      <w:start w:val="1"/>
      <w:numFmt w:val="decimal"/>
      <w:pStyle w:val="Listaconvietas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B5D0E98"/>
    <w:multiLevelType w:val="multilevel"/>
    <w:tmpl w:val="049EA21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3FBF3E2B"/>
    <w:multiLevelType w:val="multilevel"/>
    <w:tmpl w:val="63260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BF6836"/>
    <w:multiLevelType w:val="hybridMultilevel"/>
    <w:tmpl w:val="EBD601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94E260B"/>
    <w:multiLevelType w:val="multilevel"/>
    <w:tmpl w:val="7C369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B75535"/>
    <w:multiLevelType w:val="multilevel"/>
    <w:tmpl w:val="340E7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B265785"/>
    <w:multiLevelType w:val="multilevel"/>
    <w:tmpl w:val="C7E078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796027F7"/>
    <w:multiLevelType w:val="multilevel"/>
    <w:tmpl w:val="ED78D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7E3F85"/>
    <w:multiLevelType w:val="multilevel"/>
    <w:tmpl w:val="088E8E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9919325">
    <w:abstractNumId w:val="17"/>
  </w:num>
  <w:num w:numId="2" w16cid:durableId="1746680577">
    <w:abstractNumId w:val="18"/>
  </w:num>
  <w:num w:numId="3" w16cid:durableId="2136482414">
    <w:abstractNumId w:val="13"/>
  </w:num>
  <w:num w:numId="4" w16cid:durableId="1447232885">
    <w:abstractNumId w:val="5"/>
  </w:num>
  <w:num w:numId="5" w16cid:durableId="1370228361">
    <w:abstractNumId w:val="3"/>
  </w:num>
  <w:num w:numId="6" w16cid:durableId="73088410">
    <w:abstractNumId w:val="23"/>
  </w:num>
  <w:num w:numId="7" w16cid:durableId="563374164">
    <w:abstractNumId w:val="6"/>
  </w:num>
  <w:num w:numId="8" w16cid:durableId="2133011438">
    <w:abstractNumId w:val="11"/>
  </w:num>
  <w:num w:numId="9" w16cid:durableId="782532245">
    <w:abstractNumId w:val="20"/>
  </w:num>
  <w:num w:numId="10" w16cid:durableId="285746710">
    <w:abstractNumId w:val="12"/>
  </w:num>
  <w:num w:numId="11" w16cid:durableId="1939635090">
    <w:abstractNumId w:val="0"/>
  </w:num>
  <w:num w:numId="12" w16cid:durableId="216744253">
    <w:abstractNumId w:val="1"/>
  </w:num>
  <w:num w:numId="13" w16cid:durableId="1461529900">
    <w:abstractNumId w:val="9"/>
  </w:num>
  <w:num w:numId="14" w16cid:durableId="1664359530">
    <w:abstractNumId w:val="21"/>
  </w:num>
  <w:num w:numId="15" w16cid:durableId="1056316548">
    <w:abstractNumId w:val="8"/>
  </w:num>
  <w:num w:numId="16" w16cid:durableId="595526218">
    <w:abstractNumId w:val="16"/>
  </w:num>
  <w:num w:numId="17" w16cid:durableId="2095932256">
    <w:abstractNumId w:val="4"/>
  </w:num>
  <w:num w:numId="18" w16cid:durableId="689068760">
    <w:abstractNumId w:val="22"/>
  </w:num>
  <w:num w:numId="19" w16cid:durableId="1623997502">
    <w:abstractNumId w:val="14"/>
  </w:num>
  <w:num w:numId="20" w16cid:durableId="894194743">
    <w:abstractNumId w:val="19"/>
  </w:num>
  <w:num w:numId="21" w16cid:durableId="1339313294">
    <w:abstractNumId w:val="15"/>
  </w:num>
  <w:num w:numId="22" w16cid:durableId="1798403477">
    <w:abstractNumId w:val="2"/>
  </w:num>
  <w:num w:numId="23" w16cid:durableId="813445519">
    <w:abstractNumId w:val="10"/>
  </w:num>
  <w:num w:numId="24" w16cid:durableId="1101730033">
    <w:abstractNumId w:val="25"/>
  </w:num>
  <w:num w:numId="25" w16cid:durableId="831678523">
    <w:abstractNumId w:val="24"/>
  </w:num>
  <w:num w:numId="26" w16cid:durableId="4214046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4479"/>
    <w:rsid w:val="00020368"/>
    <w:rsid w:val="00022B2D"/>
    <w:rsid w:val="0006035A"/>
    <w:rsid w:val="00070B49"/>
    <w:rsid w:val="000B588E"/>
    <w:rsid w:val="000C27A3"/>
    <w:rsid w:val="000D636A"/>
    <w:rsid w:val="000D6E8E"/>
    <w:rsid w:val="000F49BB"/>
    <w:rsid w:val="00121F60"/>
    <w:rsid w:val="00161E16"/>
    <w:rsid w:val="00176691"/>
    <w:rsid w:val="001A136A"/>
    <w:rsid w:val="001A6555"/>
    <w:rsid w:val="001E013E"/>
    <w:rsid w:val="001F340C"/>
    <w:rsid w:val="00271A21"/>
    <w:rsid w:val="0029555D"/>
    <w:rsid w:val="002B3E18"/>
    <w:rsid w:val="002B6146"/>
    <w:rsid w:val="002C65F2"/>
    <w:rsid w:val="003206B7"/>
    <w:rsid w:val="003611AB"/>
    <w:rsid w:val="00365A19"/>
    <w:rsid w:val="00394479"/>
    <w:rsid w:val="003D45FF"/>
    <w:rsid w:val="003E1314"/>
    <w:rsid w:val="003F2519"/>
    <w:rsid w:val="00402727"/>
    <w:rsid w:val="0041177E"/>
    <w:rsid w:val="00427FAB"/>
    <w:rsid w:val="00454DB4"/>
    <w:rsid w:val="00477CC8"/>
    <w:rsid w:val="0048401E"/>
    <w:rsid w:val="004970CF"/>
    <w:rsid w:val="004C7DF2"/>
    <w:rsid w:val="004D353C"/>
    <w:rsid w:val="0051497C"/>
    <w:rsid w:val="00537188"/>
    <w:rsid w:val="00560BA8"/>
    <w:rsid w:val="00563E1F"/>
    <w:rsid w:val="005A3089"/>
    <w:rsid w:val="005C10E7"/>
    <w:rsid w:val="005E2E37"/>
    <w:rsid w:val="005E7845"/>
    <w:rsid w:val="005F71F8"/>
    <w:rsid w:val="00605BBD"/>
    <w:rsid w:val="006464AB"/>
    <w:rsid w:val="00647DFC"/>
    <w:rsid w:val="006523B4"/>
    <w:rsid w:val="006627C3"/>
    <w:rsid w:val="006B2A0E"/>
    <w:rsid w:val="006C6377"/>
    <w:rsid w:val="006E0ED9"/>
    <w:rsid w:val="006F5C4C"/>
    <w:rsid w:val="00706E69"/>
    <w:rsid w:val="00754E6E"/>
    <w:rsid w:val="007838D7"/>
    <w:rsid w:val="007A6CD4"/>
    <w:rsid w:val="007B10D5"/>
    <w:rsid w:val="007D1335"/>
    <w:rsid w:val="007D6377"/>
    <w:rsid w:val="007F0FEC"/>
    <w:rsid w:val="007F11E4"/>
    <w:rsid w:val="00810F84"/>
    <w:rsid w:val="0085296F"/>
    <w:rsid w:val="00890D7F"/>
    <w:rsid w:val="008968FE"/>
    <w:rsid w:val="008A1099"/>
    <w:rsid w:val="008A2C44"/>
    <w:rsid w:val="008D3281"/>
    <w:rsid w:val="008E412B"/>
    <w:rsid w:val="008F2C88"/>
    <w:rsid w:val="00915C72"/>
    <w:rsid w:val="00921CD6"/>
    <w:rsid w:val="009433E7"/>
    <w:rsid w:val="009540B4"/>
    <w:rsid w:val="00957961"/>
    <w:rsid w:val="00962D98"/>
    <w:rsid w:val="00965CBC"/>
    <w:rsid w:val="00970FA8"/>
    <w:rsid w:val="00980747"/>
    <w:rsid w:val="009C7424"/>
    <w:rsid w:val="009D28C3"/>
    <w:rsid w:val="009D6F71"/>
    <w:rsid w:val="00A036F8"/>
    <w:rsid w:val="00A33039"/>
    <w:rsid w:val="00A57323"/>
    <w:rsid w:val="00A65A20"/>
    <w:rsid w:val="00A74DB5"/>
    <w:rsid w:val="00AA0D88"/>
    <w:rsid w:val="00AA1F41"/>
    <w:rsid w:val="00AA5A17"/>
    <w:rsid w:val="00AD41CC"/>
    <w:rsid w:val="00AD55F8"/>
    <w:rsid w:val="00AE2B4B"/>
    <w:rsid w:val="00B20982"/>
    <w:rsid w:val="00B27B8F"/>
    <w:rsid w:val="00B42BB6"/>
    <w:rsid w:val="00B66537"/>
    <w:rsid w:val="00B82720"/>
    <w:rsid w:val="00B82F59"/>
    <w:rsid w:val="00B908DC"/>
    <w:rsid w:val="00BA7D51"/>
    <w:rsid w:val="00BD5E4D"/>
    <w:rsid w:val="00BE3559"/>
    <w:rsid w:val="00C03A33"/>
    <w:rsid w:val="00C055C7"/>
    <w:rsid w:val="00C237B5"/>
    <w:rsid w:val="00C376EC"/>
    <w:rsid w:val="00C37D6E"/>
    <w:rsid w:val="00CB280F"/>
    <w:rsid w:val="00CE4D82"/>
    <w:rsid w:val="00CF5E80"/>
    <w:rsid w:val="00D03592"/>
    <w:rsid w:val="00D05B5D"/>
    <w:rsid w:val="00D13ECC"/>
    <w:rsid w:val="00D16103"/>
    <w:rsid w:val="00D303EF"/>
    <w:rsid w:val="00D37049"/>
    <w:rsid w:val="00D42D5D"/>
    <w:rsid w:val="00D631FE"/>
    <w:rsid w:val="00D7501E"/>
    <w:rsid w:val="00DC05F5"/>
    <w:rsid w:val="00DC339B"/>
    <w:rsid w:val="00DD325B"/>
    <w:rsid w:val="00DD3C09"/>
    <w:rsid w:val="00DF3E78"/>
    <w:rsid w:val="00E041DD"/>
    <w:rsid w:val="00E23B65"/>
    <w:rsid w:val="00E23F2F"/>
    <w:rsid w:val="00E54106"/>
    <w:rsid w:val="00E54EC1"/>
    <w:rsid w:val="00EB218A"/>
    <w:rsid w:val="00EB5575"/>
    <w:rsid w:val="00EC518A"/>
    <w:rsid w:val="00EF0240"/>
    <w:rsid w:val="00EF6B5F"/>
    <w:rsid w:val="00F6057E"/>
    <w:rsid w:val="00F70592"/>
    <w:rsid w:val="00FA2073"/>
    <w:rsid w:val="00FA5ABE"/>
    <w:rsid w:val="00FE5D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1113A"/>
  <w15:docId w15:val="{6812E711-0067-4B6A-BD37-0042F8056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28C3"/>
    <w:rPr>
      <w:lang w:eastAsia="es-ES"/>
    </w:rPr>
  </w:style>
  <w:style w:type="paragraph" w:styleId="Ttulo1">
    <w:name w:val="heading 1"/>
    <w:basedOn w:val="Normal"/>
    <w:next w:val="Normal"/>
    <w:link w:val="Ttulo1Car"/>
    <w:uiPriority w:val="9"/>
    <w:qFormat/>
    <w:rsid w:val="00E1538D"/>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iPriority w:val="9"/>
    <w:unhideWhenUsed/>
    <w:qFormat/>
    <w:rsid w:val="00E1538D"/>
    <w:pPr>
      <w:keepNext/>
      <w:widowControl w:val="0"/>
      <w:tabs>
        <w:tab w:val="num" w:pos="0"/>
      </w:tabs>
      <w:suppressAutoHyphens/>
      <w:jc w:val="center"/>
      <w:outlineLvl w:val="1"/>
    </w:pPr>
    <w:rPr>
      <w:rFonts w:ascii="Arial" w:eastAsia="Bitstream Vera Sans" w:hAnsi="Arial"/>
      <w:b/>
      <w:sz w:val="24"/>
      <w:lang w:val="es-CO"/>
    </w:rPr>
  </w:style>
  <w:style w:type="paragraph" w:styleId="Ttulo3">
    <w:name w:val="heading 3"/>
    <w:basedOn w:val="Normal"/>
    <w:next w:val="Normal"/>
    <w:link w:val="Ttulo3Car"/>
    <w:uiPriority w:val="9"/>
    <w:semiHidden/>
    <w:unhideWhenUsed/>
    <w:qFormat/>
    <w:rsid w:val="00E1538D"/>
    <w:pPr>
      <w:keepNext/>
      <w:spacing w:before="240" w:after="60"/>
      <w:outlineLvl w:val="2"/>
    </w:pPr>
    <w:rPr>
      <w:rFonts w:ascii="Arial" w:hAnsi="Arial" w:cs="Arial"/>
      <w:b/>
      <w:bCs/>
      <w:sz w:val="26"/>
      <w:szCs w:val="26"/>
    </w:rPr>
  </w:style>
  <w:style w:type="paragraph" w:styleId="Ttulo4">
    <w:name w:val="heading 4"/>
    <w:basedOn w:val="Normal"/>
    <w:next w:val="Normal"/>
    <w:link w:val="Ttulo4Car"/>
    <w:uiPriority w:val="9"/>
    <w:semiHidden/>
    <w:unhideWhenUsed/>
    <w:qFormat/>
    <w:rsid w:val="00E1538D"/>
    <w:pPr>
      <w:keepNext/>
      <w:spacing w:before="240" w:after="60"/>
      <w:outlineLvl w:val="3"/>
    </w:pPr>
    <w:rPr>
      <w:b/>
      <w:bCs/>
      <w:sz w:val="28"/>
      <w:szCs w:val="28"/>
    </w:rPr>
  </w:style>
  <w:style w:type="paragraph" w:styleId="Ttulo5">
    <w:name w:val="heading 5"/>
    <w:basedOn w:val="Normal"/>
    <w:next w:val="Normal"/>
    <w:link w:val="Ttulo5Car"/>
    <w:uiPriority w:val="9"/>
    <w:semiHidden/>
    <w:unhideWhenUsed/>
    <w:qFormat/>
    <w:rsid w:val="00E1538D"/>
    <w:pPr>
      <w:keepNext/>
      <w:outlineLvl w:val="4"/>
    </w:pPr>
    <w:rPr>
      <w:i/>
      <w:sz w:val="19"/>
      <w:u w:val="single"/>
    </w:rPr>
  </w:style>
  <w:style w:type="paragraph" w:styleId="Ttulo6">
    <w:name w:val="heading 6"/>
    <w:basedOn w:val="Normal"/>
    <w:next w:val="Normal"/>
    <w:link w:val="Ttulo6Car"/>
    <w:uiPriority w:val="9"/>
    <w:semiHidden/>
    <w:unhideWhenUsed/>
    <w:qFormat/>
    <w:rsid w:val="00E1538D"/>
    <w:pPr>
      <w:keepNext/>
      <w:outlineLvl w:val="5"/>
    </w:pPr>
    <w:rPr>
      <w:rFonts w:ascii="CG Times" w:hAnsi="CG Times"/>
      <w:i/>
      <w:u w:val="single"/>
    </w:rPr>
  </w:style>
  <w:style w:type="paragraph" w:styleId="Ttulo7">
    <w:name w:val="heading 7"/>
    <w:basedOn w:val="Normal"/>
    <w:next w:val="Normal"/>
    <w:link w:val="Ttulo7Car"/>
    <w:qFormat/>
    <w:rsid w:val="00E1538D"/>
    <w:pPr>
      <w:keepNext/>
      <w:outlineLvl w:val="6"/>
    </w:pPr>
    <w:rPr>
      <w:rFonts w:ascii="CG Times" w:hAnsi="CG Times"/>
      <w:b/>
      <w:i/>
      <w:sz w:val="21"/>
      <w:u w:val="single"/>
    </w:rPr>
  </w:style>
  <w:style w:type="paragraph" w:styleId="Ttulo8">
    <w:name w:val="heading 8"/>
    <w:basedOn w:val="Normal"/>
    <w:next w:val="Normal"/>
    <w:link w:val="Ttulo8Car"/>
    <w:qFormat/>
    <w:rsid w:val="00E1538D"/>
    <w:pPr>
      <w:keepNext/>
      <w:outlineLvl w:val="7"/>
    </w:pPr>
    <w:rPr>
      <w:rFonts w:ascii="CG Times" w:hAnsi="CG Times"/>
      <w:i/>
      <w:sz w:val="21"/>
    </w:rPr>
  </w:style>
  <w:style w:type="paragraph" w:styleId="Ttulo9">
    <w:name w:val="heading 9"/>
    <w:basedOn w:val="Normal"/>
    <w:next w:val="Normal"/>
    <w:link w:val="Ttulo9Car"/>
    <w:qFormat/>
    <w:rsid w:val="00E1538D"/>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E1538D"/>
    <w:pPr>
      <w:jc w:val="center"/>
    </w:pPr>
    <w:rPr>
      <w:rFonts w:ascii="Tahoma" w:hAnsi="Tahoma"/>
      <w:b/>
      <w:sz w:val="24"/>
    </w:rPr>
  </w:style>
  <w:style w:type="paragraph" w:styleId="Encabezado">
    <w:name w:val="header"/>
    <w:basedOn w:val="Normal"/>
    <w:link w:val="EncabezadoCar"/>
    <w:rsid w:val="00C820B0"/>
    <w:pPr>
      <w:tabs>
        <w:tab w:val="center" w:pos="4252"/>
        <w:tab w:val="right" w:pos="8504"/>
      </w:tabs>
    </w:pPr>
  </w:style>
  <w:style w:type="character" w:customStyle="1" w:styleId="EncabezadoCar">
    <w:name w:val="Encabezado Car"/>
    <w:basedOn w:val="Fuentedeprrafopredeter"/>
    <w:link w:val="Encabezado"/>
    <w:rsid w:val="00C820B0"/>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C820B0"/>
    <w:pPr>
      <w:tabs>
        <w:tab w:val="center" w:pos="4252"/>
        <w:tab w:val="right" w:pos="8504"/>
      </w:tabs>
    </w:pPr>
  </w:style>
  <w:style w:type="character" w:customStyle="1" w:styleId="PiedepginaCar">
    <w:name w:val="Pie de página Car"/>
    <w:basedOn w:val="Fuentedeprrafopredeter"/>
    <w:link w:val="Piedepgina"/>
    <w:rsid w:val="00C820B0"/>
    <w:rPr>
      <w:rFonts w:ascii="Times New Roman" w:eastAsia="Times New Roman" w:hAnsi="Times New Roman" w:cs="Times New Roman"/>
      <w:sz w:val="20"/>
      <w:szCs w:val="20"/>
      <w:lang w:val="es-ES" w:eastAsia="es-ES"/>
    </w:rPr>
  </w:style>
  <w:style w:type="paragraph" w:styleId="Textodeglobo">
    <w:name w:val="Balloon Text"/>
    <w:basedOn w:val="Normal"/>
    <w:link w:val="TextodegloboCar"/>
    <w:uiPriority w:val="99"/>
    <w:semiHidden/>
    <w:unhideWhenUsed/>
    <w:rsid w:val="00C820B0"/>
    <w:rPr>
      <w:rFonts w:ascii="Tahoma" w:hAnsi="Tahoma" w:cs="Tahoma"/>
      <w:sz w:val="16"/>
      <w:szCs w:val="16"/>
    </w:rPr>
  </w:style>
  <w:style w:type="character" w:customStyle="1" w:styleId="TextodegloboCar">
    <w:name w:val="Texto de globo Car"/>
    <w:basedOn w:val="Fuentedeprrafopredeter"/>
    <w:link w:val="Textodeglobo"/>
    <w:uiPriority w:val="99"/>
    <w:semiHidden/>
    <w:rsid w:val="00C820B0"/>
    <w:rPr>
      <w:rFonts w:ascii="Tahoma" w:eastAsia="Times New Roman" w:hAnsi="Tahoma" w:cs="Tahoma"/>
      <w:sz w:val="16"/>
      <w:szCs w:val="16"/>
      <w:lang w:val="es-ES" w:eastAsia="es-ES"/>
    </w:rPr>
  </w:style>
  <w:style w:type="paragraph" w:styleId="Prrafodelista">
    <w:name w:val="List Paragraph"/>
    <w:basedOn w:val="Normal"/>
    <w:uiPriority w:val="34"/>
    <w:qFormat/>
    <w:rsid w:val="00FE76A4"/>
    <w:pPr>
      <w:ind w:left="720"/>
      <w:contextualSpacing/>
    </w:pPr>
  </w:style>
  <w:style w:type="character" w:customStyle="1" w:styleId="Ttulo1Car">
    <w:name w:val="Título 1 Car"/>
    <w:basedOn w:val="Fuentedeprrafopredeter"/>
    <w:link w:val="Ttulo1"/>
    <w:rsid w:val="00E1538D"/>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E1538D"/>
    <w:rPr>
      <w:rFonts w:ascii="Arial" w:eastAsia="Bitstream Vera Sans" w:hAnsi="Arial" w:cs="Times New Roman"/>
      <w:b/>
      <w:sz w:val="24"/>
      <w:szCs w:val="20"/>
      <w:lang w:eastAsia="es-ES"/>
    </w:rPr>
  </w:style>
  <w:style w:type="character" w:customStyle="1" w:styleId="Ttulo3Car">
    <w:name w:val="Título 3 Car"/>
    <w:basedOn w:val="Fuentedeprrafopredeter"/>
    <w:link w:val="Ttulo3"/>
    <w:rsid w:val="00E1538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E1538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E1538D"/>
    <w:rPr>
      <w:rFonts w:ascii="Times New Roman" w:eastAsia="Times New Roman" w:hAnsi="Times New Roman" w:cs="Times New Roman"/>
      <w:i/>
      <w:sz w:val="19"/>
      <w:szCs w:val="20"/>
      <w:u w:val="single"/>
      <w:lang w:val="es-ES" w:eastAsia="es-ES"/>
    </w:rPr>
  </w:style>
  <w:style w:type="character" w:customStyle="1" w:styleId="Ttulo6Car">
    <w:name w:val="Título 6 Car"/>
    <w:basedOn w:val="Fuentedeprrafopredeter"/>
    <w:link w:val="Ttulo6"/>
    <w:rsid w:val="00E1538D"/>
    <w:rPr>
      <w:rFonts w:ascii="CG Times" w:eastAsia="Times New Roman" w:hAnsi="CG Times" w:cs="Times New Roman"/>
      <w:i/>
      <w:sz w:val="20"/>
      <w:szCs w:val="20"/>
      <w:u w:val="single"/>
      <w:lang w:val="es-ES" w:eastAsia="es-ES"/>
    </w:rPr>
  </w:style>
  <w:style w:type="character" w:customStyle="1" w:styleId="Ttulo7Car">
    <w:name w:val="Título 7 Car"/>
    <w:basedOn w:val="Fuentedeprrafopredeter"/>
    <w:link w:val="Ttulo7"/>
    <w:rsid w:val="00E1538D"/>
    <w:rPr>
      <w:rFonts w:ascii="CG Times" w:eastAsia="Times New Roman" w:hAnsi="CG Times" w:cs="Times New Roman"/>
      <w:b/>
      <w:i/>
      <w:sz w:val="21"/>
      <w:szCs w:val="20"/>
      <w:u w:val="single"/>
      <w:lang w:val="es-ES" w:eastAsia="es-ES"/>
    </w:rPr>
  </w:style>
  <w:style w:type="character" w:customStyle="1" w:styleId="Ttulo8Car">
    <w:name w:val="Título 8 Car"/>
    <w:basedOn w:val="Fuentedeprrafopredeter"/>
    <w:link w:val="Ttulo8"/>
    <w:rsid w:val="00E1538D"/>
    <w:rPr>
      <w:rFonts w:ascii="CG Times" w:eastAsia="Times New Roman" w:hAnsi="CG Times" w:cs="Times New Roman"/>
      <w:i/>
      <w:sz w:val="21"/>
      <w:szCs w:val="20"/>
      <w:lang w:val="es-ES" w:eastAsia="es-ES"/>
    </w:rPr>
  </w:style>
  <w:style w:type="character" w:customStyle="1" w:styleId="Ttulo9Car">
    <w:name w:val="Título 9 Car"/>
    <w:basedOn w:val="Fuentedeprrafopredeter"/>
    <w:link w:val="Ttulo9"/>
    <w:rsid w:val="00E1538D"/>
    <w:rPr>
      <w:rFonts w:ascii="Arial" w:eastAsia="Times New Roman" w:hAnsi="Arial" w:cs="Arial"/>
      <w:lang w:val="es-ES" w:eastAsia="es-ES"/>
    </w:rPr>
  </w:style>
  <w:style w:type="paragraph" w:customStyle="1" w:styleId="Textoindependiente21">
    <w:name w:val="Texto independiente 21"/>
    <w:basedOn w:val="Normal"/>
    <w:rsid w:val="00E1538D"/>
    <w:pPr>
      <w:widowControl w:val="0"/>
      <w:tabs>
        <w:tab w:val="left" w:pos="8647"/>
      </w:tabs>
      <w:suppressAutoHyphens/>
      <w:jc w:val="both"/>
    </w:pPr>
    <w:rPr>
      <w:rFonts w:ascii="CG Times" w:eastAsia="Bitstream Vera Sans" w:hAnsi="CG Times"/>
      <w:i/>
      <w:sz w:val="24"/>
      <w:lang w:val="es-CO"/>
    </w:rPr>
  </w:style>
  <w:style w:type="paragraph" w:styleId="Textoindependiente2">
    <w:name w:val="Body Text 2"/>
    <w:basedOn w:val="Normal"/>
    <w:link w:val="Textoindependiente2Car"/>
    <w:rsid w:val="00E1538D"/>
    <w:pPr>
      <w:widowControl w:val="0"/>
      <w:suppressAutoHyphens/>
      <w:spacing w:after="120" w:line="480" w:lineRule="auto"/>
    </w:pPr>
    <w:rPr>
      <w:rFonts w:ascii="Bitstream Vera Serif" w:eastAsia="Bitstream Vera Sans" w:hAnsi="Bitstream Vera Serif"/>
      <w:sz w:val="24"/>
      <w:lang w:val="es-CO"/>
    </w:rPr>
  </w:style>
  <w:style w:type="character" w:customStyle="1" w:styleId="Textoindependiente2Car">
    <w:name w:val="Texto independiente 2 Car"/>
    <w:basedOn w:val="Fuentedeprrafopredeter"/>
    <w:link w:val="Textoindependiente2"/>
    <w:rsid w:val="00E1538D"/>
    <w:rPr>
      <w:rFonts w:ascii="Bitstream Vera Serif" w:eastAsia="Bitstream Vera Sans" w:hAnsi="Bitstream Vera Serif" w:cs="Times New Roman"/>
      <w:sz w:val="24"/>
      <w:szCs w:val="20"/>
      <w:lang w:eastAsia="es-ES"/>
    </w:rPr>
  </w:style>
  <w:style w:type="paragraph" w:customStyle="1" w:styleId="Textoindependiente31">
    <w:name w:val="Texto independiente 31"/>
    <w:basedOn w:val="Normal"/>
    <w:rsid w:val="00E1538D"/>
    <w:pPr>
      <w:widowControl w:val="0"/>
      <w:suppressAutoHyphens/>
    </w:pPr>
    <w:rPr>
      <w:rFonts w:ascii="Bitstream Vera Serif" w:eastAsia="Bitstream Vera Sans" w:hAnsi="Bitstream Vera Serif"/>
      <w:sz w:val="28"/>
      <w:lang w:val="es-CO"/>
    </w:rPr>
  </w:style>
  <w:style w:type="character" w:styleId="Hipervnculo">
    <w:name w:val="Hyperlink"/>
    <w:basedOn w:val="Fuentedeprrafopredeter"/>
    <w:uiPriority w:val="99"/>
    <w:rsid w:val="00E1538D"/>
    <w:rPr>
      <w:color w:val="0000FF"/>
      <w:u w:val="single"/>
    </w:rPr>
  </w:style>
  <w:style w:type="character" w:styleId="Hipervnculovisitado">
    <w:name w:val="FollowedHyperlink"/>
    <w:basedOn w:val="Fuentedeprrafopredeter"/>
    <w:uiPriority w:val="99"/>
    <w:rsid w:val="00E1538D"/>
    <w:rPr>
      <w:color w:val="800080"/>
      <w:u w:val="single"/>
    </w:rPr>
  </w:style>
  <w:style w:type="paragraph" w:customStyle="1" w:styleId="xl22">
    <w:name w:val="xl22"/>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sz w:val="24"/>
      <w:szCs w:val="24"/>
    </w:rPr>
  </w:style>
  <w:style w:type="paragraph" w:customStyle="1" w:styleId="xl23">
    <w:name w:val="xl2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4">
    <w:name w:val="xl2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5">
    <w:name w:val="xl25"/>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paragraph" w:customStyle="1" w:styleId="xl26">
    <w:name w:val="xl2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character" w:styleId="Nmerodepgina">
    <w:name w:val="page number"/>
    <w:basedOn w:val="Fuentedeprrafopredeter"/>
    <w:rsid w:val="00E1538D"/>
  </w:style>
  <w:style w:type="paragraph" w:customStyle="1" w:styleId="xl27">
    <w:name w:val="xl27"/>
    <w:basedOn w:val="Normal"/>
    <w:rsid w:val="00E1538D"/>
    <w:pPr>
      <w:spacing w:before="100" w:beforeAutospacing="1" w:after="100" w:afterAutospacing="1"/>
    </w:pPr>
    <w:rPr>
      <w:rFonts w:ascii="Tahoma" w:hAnsi="Tahoma" w:cs="Tahoma"/>
      <w:b/>
      <w:bCs/>
      <w:color w:val="000000"/>
      <w:sz w:val="22"/>
      <w:szCs w:val="22"/>
    </w:rPr>
  </w:style>
  <w:style w:type="paragraph" w:customStyle="1" w:styleId="xl28">
    <w:name w:val="xl28"/>
    <w:basedOn w:val="Normal"/>
    <w:rsid w:val="00E1538D"/>
    <w:pPr>
      <w:spacing w:before="100" w:beforeAutospacing="1" w:after="100" w:afterAutospacing="1"/>
      <w:jc w:val="right"/>
    </w:pPr>
    <w:rPr>
      <w:rFonts w:ascii="Tahoma" w:hAnsi="Tahoma" w:cs="Tahoma"/>
      <w:color w:val="000000"/>
      <w:sz w:val="22"/>
      <w:szCs w:val="22"/>
    </w:rPr>
  </w:style>
  <w:style w:type="paragraph" w:customStyle="1" w:styleId="xl29">
    <w:name w:val="xl29"/>
    <w:basedOn w:val="Normal"/>
    <w:rsid w:val="00E1538D"/>
    <w:pPr>
      <w:spacing w:before="100" w:beforeAutospacing="1" w:after="100" w:afterAutospacing="1"/>
    </w:pPr>
    <w:rPr>
      <w:rFonts w:ascii="Tahoma" w:hAnsi="Tahoma" w:cs="Tahoma"/>
      <w:color w:val="000000"/>
      <w:sz w:val="22"/>
      <w:szCs w:val="22"/>
    </w:rPr>
  </w:style>
  <w:style w:type="paragraph" w:customStyle="1" w:styleId="xl30">
    <w:name w:val="xl30"/>
    <w:basedOn w:val="Normal"/>
    <w:rsid w:val="00E1538D"/>
    <w:pPr>
      <w:spacing w:before="100" w:beforeAutospacing="1" w:after="100" w:afterAutospacing="1"/>
    </w:pPr>
    <w:rPr>
      <w:rFonts w:ascii="Tahoma" w:hAnsi="Tahoma" w:cs="Tahoma"/>
      <w:sz w:val="22"/>
      <w:szCs w:val="22"/>
    </w:rPr>
  </w:style>
  <w:style w:type="paragraph" w:customStyle="1" w:styleId="xl31">
    <w:name w:val="xl31"/>
    <w:basedOn w:val="Normal"/>
    <w:rsid w:val="00E1538D"/>
    <w:pPr>
      <w:spacing w:before="100" w:beforeAutospacing="1" w:after="100" w:afterAutospacing="1"/>
      <w:jc w:val="right"/>
    </w:pPr>
    <w:rPr>
      <w:rFonts w:ascii="Tahoma" w:hAnsi="Tahoma" w:cs="Tahoma"/>
      <w:color w:val="000000"/>
      <w:sz w:val="22"/>
      <w:szCs w:val="22"/>
    </w:rPr>
  </w:style>
  <w:style w:type="paragraph" w:styleId="Textoindependiente3">
    <w:name w:val="Body Text 3"/>
    <w:basedOn w:val="Normal"/>
    <w:link w:val="Textoindependiente3Car"/>
    <w:rsid w:val="00E1538D"/>
    <w:rPr>
      <w:sz w:val="28"/>
    </w:rPr>
  </w:style>
  <w:style w:type="character" w:customStyle="1" w:styleId="Textoindependiente3Car">
    <w:name w:val="Texto independiente 3 Car"/>
    <w:basedOn w:val="Fuentedeprrafopredeter"/>
    <w:link w:val="Textoindependiente3"/>
    <w:rsid w:val="00E1538D"/>
    <w:rPr>
      <w:rFonts w:ascii="Times New Roman" w:eastAsia="Times New Roman" w:hAnsi="Times New Roman" w:cs="Times New Roman"/>
      <w:sz w:val="28"/>
      <w:szCs w:val="20"/>
      <w:lang w:val="es-ES" w:eastAsia="es-ES"/>
    </w:rPr>
  </w:style>
  <w:style w:type="paragraph" w:styleId="Textoindependiente">
    <w:name w:val="Body Text"/>
    <w:basedOn w:val="Normal"/>
    <w:link w:val="TextoindependienteCar"/>
    <w:rsid w:val="00E1538D"/>
    <w:pPr>
      <w:jc w:val="both"/>
    </w:pPr>
    <w:rPr>
      <w:i/>
    </w:rPr>
  </w:style>
  <w:style w:type="character" w:customStyle="1" w:styleId="TextoindependienteCar">
    <w:name w:val="Texto independiente Car"/>
    <w:basedOn w:val="Fuentedeprrafopredeter"/>
    <w:link w:val="Textoindependiente"/>
    <w:rsid w:val="00E1538D"/>
    <w:rPr>
      <w:rFonts w:ascii="Times New Roman" w:eastAsia="Times New Roman" w:hAnsi="Times New Roman" w:cs="Times New Roman"/>
      <w:i/>
      <w:sz w:val="20"/>
      <w:szCs w:val="20"/>
      <w:lang w:val="es-ES" w:eastAsia="es-ES"/>
    </w:rPr>
  </w:style>
  <w:style w:type="character" w:customStyle="1" w:styleId="TtuloCar">
    <w:name w:val="Título Car"/>
    <w:basedOn w:val="Fuentedeprrafopredeter"/>
    <w:link w:val="Ttulo"/>
    <w:rsid w:val="00E1538D"/>
    <w:rPr>
      <w:rFonts w:ascii="Tahoma" w:eastAsia="Times New Roman" w:hAnsi="Tahoma" w:cs="Times New Roman"/>
      <w:b/>
      <w:sz w:val="24"/>
      <w:szCs w:val="20"/>
      <w:lang w:val="es-ES" w:eastAsia="es-ES"/>
    </w:rPr>
  </w:style>
  <w:style w:type="paragraph" w:customStyle="1" w:styleId="xl65">
    <w:name w:val="xl65"/>
    <w:basedOn w:val="Normal"/>
    <w:rsid w:val="00E1538D"/>
    <w:pPr>
      <w:spacing w:before="100" w:beforeAutospacing="1" w:after="100" w:afterAutospacing="1"/>
    </w:pPr>
    <w:rPr>
      <w:rFonts w:ascii="Tahoma" w:hAnsi="Tahoma" w:cs="Tahoma"/>
      <w:sz w:val="18"/>
      <w:szCs w:val="18"/>
    </w:rPr>
  </w:style>
  <w:style w:type="paragraph" w:customStyle="1" w:styleId="xl66">
    <w:name w:val="xl6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7">
    <w:name w:val="xl67"/>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color w:val="000000"/>
      <w:sz w:val="18"/>
      <w:szCs w:val="18"/>
    </w:rPr>
  </w:style>
  <w:style w:type="paragraph" w:customStyle="1" w:styleId="xl68">
    <w:name w:val="xl68"/>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3">
    <w:name w:val="xl6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Arial" w:hAnsi="Arial" w:cs="Arial"/>
      <w:sz w:val="24"/>
      <w:szCs w:val="24"/>
    </w:rPr>
  </w:style>
  <w:style w:type="paragraph" w:customStyle="1" w:styleId="xl64">
    <w:name w:val="xl6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Arial" w:hAnsi="Arial" w:cs="Arial"/>
      <w:sz w:val="24"/>
      <w:szCs w:val="24"/>
    </w:rPr>
  </w:style>
  <w:style w:type="paragraph" w:styleId="Lista">
    <w:name w:val="List"/>
    <w:basedOn w:val="Normal"/>
    <w:rsid w:val="00662BA3"/>
    <w:pPr>
      <w:ind w:left="283" w:hanging="283"/>
      <w:contextualSpacing/>
    </w:pPr>
    <w:rPr>
      <w:lang w:val="es-CO"/>
    </w:rPr>
  </w:style>
  <w:style w:type="paragraph" w:styleId="Listaconvietas2">
    <w:name w:val="List Bullet 2"/>
    <w:basedOn w:val="Normal"/>
    <w:unhideWhenUsed/>
    <w:rsid w:val="009A4D63"/>
    <w:pPr>
      <w:numPr>
        <w:numId w:val="1"/>
      </w:numPr>
      <w:contextualSpacing/>
    </w:pPr>
    <w:rPr>
      <w:lang w:val="es-CO"/>
    </w:rPr>
  </w:style>
  <w:style w:type="paragraph" w:styleId="Cierre">
    <w:name w:val="Closing"/>
    <w:basedOn w:val="Normal"/>
    <w:link w:val="CierreCar"/>
    <w:rsid w:val="003537A3"/>
    <w:pPr>
      <w:ind w:left="4252"/>
    </w:pPr>
    <w:rPr>
      <w:lang w:val="es-CO"/>
    </w:rPr>
  </w:style>
  <w:style w:type="character" w:customStyle="1" w:styleId="CierreCar">
    <w:name w:val="Cierre Car"/>
    <w:basedOn w:val="Fuentedeprrafopredeter"/>
    <w:link w:val="Cierre"/>
    <w:rsid w:val="003537A3"/>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rsid w:val="009076D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lang w:val="es-CO"/>
    </w:rPr>
  </w:style>
  <w:style w:type="character" w:customStyle="1" w:styleId="EncabezadodemensajeCar">
    <w:name w:val="Encabezado de mensaje Car"/>
    <w:basedOn w:val="Fuentedeprrafopredeter"/>
    <w:link w:val="Encabezadodemensaje"/>
    <w:rsid w:val="009076D6"/>
    <w:rPr>
      <w:rFonts w:ascii="Cambria" w:eastAsia="Times New Roman" w:hAnsi="Cambria" w:cs="Times New Roman"/>
      <w:sz w:val="24"/>
      <w:szCs w:val="24"/>
      <w:shd w:val="pct20" w:color="auto" w:fill="auto"/>
      <w:lang w:eastAsia="es-ES"/>
    </w:rPr>
  </w:style>
  <w:style w:type="paragraph" w:customStyle="1" w:styleId="Default">
    <w:name w:val="Default"/>
    <w:rsid w:val="004F0DC0"/>
    <w:pPr>
      <w:autoSpaceDE w:val="0"/>
      <w:autoSpaceDN w:val="0"/>
      <w:adjustRightInd w:val="0"/>
    </w:pPr>
    <w:rPr>
      <w:color w:val="000000"/>
      <w:sz w:val="24"/>
      <w:szCs w:val="24"/>
    </w:rPr>
  </w:style>
  <w:style w:type="paragraph" w:styleId="Sinespaciado">
    <w:name w:val="No Spacing"/>
    <w:uiPriority w:val="1"/>
    <w:qFormat/>
    <w:rsid w:val="00095E64"/>
    <w:rPr>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cinsinresolver">
    <w:name w:val="Unresolved Mention"/>
    <w:basedOn w:val="Fuentedeprrafopredeter"/>
    <w:uiPriority w:val="99"/>
    <w:semiHidden/>
    <w:unhideWhenUsed/>
    <w:rsid w:val="00E54106"/>
    <w:rPr>
      <w:color w:val="605E5C"/>
      <w:shd w:val="clear" w:color="auto" w:fill="E1DFDD"/>
    </w:rPr>
  </w:style>
  <w:style w:type="paragraph" w:styleId="NormalWeb">
    <w:name w:val="Normal (Web)"/>
    <w:basedOn w:val="Normal"/>
    <w:uiPriority w:val="99"/>
    <w:semiHidden/>
    <w:unhideWhenUsed/>
    <w:rsid w:val="00DC05F5"/>
    <w:rPr>
      <w:sz w:val="24"/>
      <w:szCs w:val="24"/>
    </w:rPr>
  </w:style>
  <w:style w:type="table" w:styleId="Tablaconcuadrcula">
    <w:name w:val="Table Grid"/>
    <w:basedOn w:val="Tablanormal"/>
    <w:uiPriority w:val="39"/>
    <w:rsid w:val="009D28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2704144">
      <w:bodyDiv w:val="1"/>
      <w:marLeft w:val="0"/>
      <w:marRight w:val="0"/>
      <w:marTop w:val="0"/>
      <w:marBottom w:val="0"/>
      <w:divBdr>
        <w:top w:val="none" w:sz="0" w:space="0" w:color="auto"/>
        <w:left w:val="none" w:sz="0" w:space="0" w:color="auto"/>
        <w:bottom w:val="none" w:sz="0" w:space="0" w:color="auto"/>
        <w:right w:val="none" w:sz="0" w:space="0" w:color="auto"/>
      </w:divBdr>
    </w:div>
    <w:div w:id="1918906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CFq5LyGe8Y8IMUXlVh+oD8uwA==">CgMxLjAyCGguZ2pkZ3hzMgloLjMwajB6bGw4AHIhMTVIU1NhUDlpSEJSVldUa3pTeUNzMjNOSV9Ec3ZTMGR5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26</Pages>
  <Words>7723</Words>
  <Characters>42478</Characters>
  <Application>Microsoft Office Word</Application>
  <DocSecurity>0</DocSecurity>
  <Lines>353</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movalle</dc:creator>
  <cp:lastModifiedBy>Jhon Bayron Bedoya Sandoval</cp:lastModifiedBy>
  <cp:revision>5</cp:revision>
  <dcterms:created xsi:type="dcterms:W3CDTF">2026-04-23T03:27:00Z</dcterms:created>
  <dcterms:modified xsi:type="dcterms:W3CDTF">2026-05-06T14:53:00Z</dcterms:modified>
</cp:coreProperties>
</file>